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p>
    <w:p>
      <w:pPr>
        <w:rPr>
          <w:sz w:val="84"/>
          <w:szCs w:val="84"/>
          <w:u w:val="single"/>
        </w:rPr>
      </w:pPr>
    </w:p>
    <w:p>
      <w:pPr>
        <w:rPr>
          <w:sz w:val="84"/>
          <w:szCs w:val="84"/>
          <w:u w:val="single"/>
        </w:rPr>
      </w:pPr>
    </w:p>
    <w:p>
      <w:pPr>
        <w:rPr>
          <w:sz w:val="84"/>
          <w:szCs w:val="84"/>
          <w:u w:val="single"/>
        </w:rPr>
      </w:pPr>
    </w:p>
    <w:p>
      <w:pPr>
        <w:jc w:val="center"/>
        <w:rPr>
          <w:rFonts w:ascii="方正小标宋简体" w:eastAsia="方正小标宋简体"/>
          <w:sz w:val="52"/>
          <w:szCs w:val="52"/>
        </w:rPr>
      </w:pPr>
      <w:r>
        <w:rPr>
          <w:rFonts w:hint="eastAsia" w:ascii="方正小标宋简体" w:eastAsia="方正小标宋简体"/>
          <w:sz w:val="52"/>
          <w:szCs w:val="52"/>
        </w:rPr>
        <w:t>2023年海南省消费者委员会办公室</w:t>
      </w:r>
    </w:p>
    <w:p>
      <w:pPr>
        <w:jc w:val="center"/>
        <w:rPr>
          <w:rFonts w:ascii="方正小标宋简体" w:eastAsia="方正小标宋简体"/>
          <w:sz w:val="52"/>
          <w:szCs w:val="52"/>
        </w:rPr>
      </w:pPr>
      <w:r>
        <w:rPr>
          <w:rFonts w:hint="eastAsia" w:ascii="方正小标宋简体" w:eastAsia="方正小标宋简体"/>
          <w:sz w:val="52"/>
          <w:szCs w:val="52"/>
        </w:rPr>
        <w:t>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rPr>
          <w:rFonts w:ascii="黑体" w:hAnsi="黑体" w:eastAsia="黑体"/>
          <w:sz w:val="52"/>
          <w:szCs w:val="52"/>
        </w:rPr>
      </w:pPr>
    </w:p>
    <w:p>
      <w:pPr>
        <w:jc w:val="center"/>
        <w:rPr>
          <w:rFonts w:ascii="黑体" w:hAnsi="黑体" w:eastAsia="黑体"/>
          <w:sz w:val="52"/>
          <w:szCs w:val="52"/>
        </w:rPr>
      </w:pPr>
    </w:p>
    <w:p>
      <w:pPr>
        <w:jc w:val="center"/>
        <w:rPr>
          <w:rFonts w:ascii="黑体" w:hAnsi="黑体" w:eastAsia="黑体"/>
          <w:sz w:val="52"/>
          <w:szCs w:val="52"/>
        </w:rPr>
      </w:pPr>
    </w:p>
    <w:p>
      <w:pPr>
        <w:jc w:val="center"/>
        <w:rPr>
          <w:rFonts w:ascii="黑体" w:hAnsi="黑体" w:eastAsia="黑体"/>
          <w:sz w:val="52"/>
          <w:szCs w:val="52"/>
        </w:rPr>
        <w:sectPr>
          <w:footerReference r:id="rId3" w:type="default"/>
          <w:pgSz w:w="11906" w:h="16838"/>
          <w:pgMar w:top="2098" w:right="1474" w:bottom="1985" w:left="1588" w:header="851" w:footer="992" w:gutter="0"/>
          <w:pgNumType w:fmt="numberInDash"/>
          <w:cols w:space="425" w:num="1"/>
          <w:docGrid w:type="lines" w:linePitch="312" w:charSpace="0"/>
        </w:sectPr>
      </w:pPr>
    </w:p>
    <w:p>
      <w:pPr>
        <w:jc w:val="center"/>
        <w:rPr>
          <w:rFonts w:ascii="黑体" w:hAnsi="黑体" w:eastAsia="黑体"/>
          <w:sz w:val="52"/>
          <w:szCs w:val="52"/>
        </w:rPr>
      </w:pPr>
      <w:r>
        <w:rPr>
          <w:rFonts w:hint="eastAsia" w:ascii="黑体" w:hAnsi="黑体" w:eastAsia="黑体"/>
          <w:sz w:val="52"/>
          <w:szCs w:val="52"/>
        </w:rPr>
        <w:t>目   录</w:t>
      </w:r>
    </w:p>
    <w:p>
      <w:pPr>
        <w:jc w:val="center"/>
        <w:rPr>
          <w:rFonts w:ascii="黑体" w:hAnsi="黑体" w:eastAsia="黑体"/>
          <w:sz w:val="52"/>
          <w:szCs w:val="52"/>
        </w:rPr>
      </w:pPr>
    </w:p>
    <w:p>
      <w:pPr>
        <w:pStyle w:val="8"/>
        <w:numPr>
          <w:ilvl w:val="0"/>
          <w:numId w:val="1"/>
        </w:numPr>
        <w:ind w:firstLineChars="0"/>
        <w:jc w:val="left"/>
        <w:rPr>
          <w:rFonts w:ascii="黑体" w:hAnsi="黑体" w:eastAsia="黑体"/>
          <w:sz w:val="32"/>
          <w:szCs w:val="32"/>
        </w:rPr>
      </w:pPr>
      <w:r>
        <w:rPr>
          <w:rFonts w:ascii="黑体" w:hAnsi="黑体" w:eastAsia="黑体" w:cs="仿宋_GB2312"/>
          <w:sz w:val="32"/>
          <w:szCs w:val="32"/>
        </w:rPr>
        <w:t xml:space="preserve"> </w:t>
      </w:r>
      <w:r>
        <w:rPr>
          <w:rFonts w:hint="eastAsia" w:ascii="黑体" w:hAnsi="黑体" w:eastAsia="黑体" w:cs="仿宋_GB2312"/>
          <w:sz w:val="32"/>
          <w:szCs w:val="32"/>
        </w:rPr>
        <w:t>海南省消费者委员会办公室</w:t>
      </w:r>
      <w:r>
        <w:rPr>
          <w:rFonts w:hint="eastAsia" w:ascii="黑体" w:hAnsi="黑体" w:eastAsia="黑体"/>
          <w:sz w:val="32"/>
          <w:szCs w:val="32"/>
        </w:rPr>
        <w:t>概况</w:t>
      </w:r>
    </w:p>
    <w:p>
      <w:pPr>
        <w:jc w:val="left"/>
        <w:rPr>
          <w:rFonts w:ascii="仿宋_GB2312" w:hAnsi="黑体" w:eastAsia="仿宋_GB2312"/>
          <w:sz w:val="32"/>
          <w:szCs w:val="32"/>
        </w:rPr>
      </w:pPr>
      <w:r>
        <w:rPr>
          <w:rFonts w:hint="eastAsia" w:ascii="仿宋_GB2312" w:hAnsi="黑体" w:eastAsia="仿宋_GB2312"/>
          <w:sz w:val="32"/>
          <w:szCs w:val="32"/>
        </w:rPr>
        <w:t>主要职能</w:t>
      </w:r>
    </w:p>
    <w:p>
      <w:pPr>
        <w:pStyle w:val="8"/>
        <w:numPr>
          <w:ilvl w:val="0"/>
          <w:numId w:val="1"/>
        </w:numPr>
        <w:ind w:firstLineChars="0"/>
        <w:jc w:val="left"/>
        <w:rPr>
          <w:rFonts w:ascii="黑体" w:hAnsi="黑体" w:eastAsia="黑体"/>
          <w:sz w:val="32"/>
          <w:szCs w:val="32"/>
        </w:rPr>
      </w:pPr>
      <w:r>
        <w:rPr>
          <w:rFonts w:ascii="黑体" w:hAnsi="黑体" w:eastAsia="黑体" w:cs="仿宋_GB2312"/>
          <w:sz w:val="32"/>
          <w:szCs w:val="32"/>
        </w:rPr>
        <w:t xml:space="preserve"> </w:t>
      </w:r>
      <w:r>
        <w:rPr>
          <w:rFonts w:hint="eastAsia" w:ascii="黑体" w:hAnsi="黑体" w:eastAsia="黑体" w:cs="仿宋_GB2312"/>
          <w:sz w:val="32"/>
          <w:szCs w:val="32"/>
        </w:rPr>
        <w:t>海南省消费者委员会办公室2023</w:t>
      </w:r>
      <w:r>
        <w:rPr>
          <w:rFonts w:hint="eastAsia" w:ascii="黑体" w:hAnsi="黑体" w:eastAsia="黑体"/>
          <w:sz w:val="32"/>
          <w:szCs w:val="32"/>
        </w:rPr>
        <w:t>年预算表</w:t>
      </w:r>
    </w:p>
    <w:p>
      <w:pPr>
        <w:pStyle w:val="8"/>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8"/>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8"/>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8"/>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8"/>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8"/>
        <w:numPr>
          <w:ilvl w:val="0"/>
          <w:numId w:val="2"/>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8"/>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8"/>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8"/>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8"/>
        <w:numPr>
          <w:ilvl w:val="0"/>
          <w:numId w:val="2"/>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8"/>
        <w:numPr>
          <w:ilvl w:val="0"/>
          <w:numId w:val="1"/>
        </w:numPr>
        <w:ind w:firstLineChars="0"/>
        <w:jc w:val="left"/>
        <w:rPr>
          <w:rFonts w:ascii="仿宋_GB2312" w:hAnsi="仿宋_GB2312" w:eastAsia="仿宋_GB2312" w:cs="仿宋_GB2312"/>
          <w:sz w:val="32"/>
          <w:szCs w:val="32"/>
        </w:rPr>
      </w:pPr>
      <w:r>
        <w:rPr>
          <w:rFonts w:ascii="黑体" w:hAnsi="黑体" w:eastAsia="黑体" w:cs="仿宋_GB2312"/>
          <w:sz w:val="32"/>
          <w:szCs w:val="32"/>
        </w:rPr>
        <w:t xml:space="preserve"> </w:t>
      </w:r>
      <w:r>
        <w:rPr>
          <w:rFonts w:hint="eastAsia" w:ascii="黑体" w:hAnsi="黑体" w:eastAsia="黑体" w:cs="仿宋_GB2312"/>
          <w:sz w:val="32"/>
          <w:szCs w:val="32"/>
        </w:rPr>
        <w:t>海南省消费者委员会办公室2023</w:t>
      </w:r>
      <w:r>
        <w:rPr>
          <w:rFonts w:hint="eastAsia" w:ascii="黑体" w:hAnsi="黑体" w:eastAsia="黑体"/>
          <w:sz w:val="32"/>
          <w:szCs w:val="32"/>
        </w:rPr>
        <w:t>年预算情况说明</w:t>
      </w: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jc w:val="left"/>
        <w:rPr>
          <w:rFonts w:ascii="黑体" w:hAnsi="黑体" w:eastAsia="黑体"/>
          <w:sz w:val="32"/>
          <w:szCs w:val="32"/>
        </w:rPr>
        <w:sectPr>
          <w:footerReference r:id="rId4" w:type="default"/>
          <w:pgSz w:w="11906" w:h="16838"/>
          <w:pgMar w:top="2098" w:right="1474" w:bottom="1985" w:left="1588" w:header="851" w:footer="992" w:gutter="0"/>
          <w:pgNumType w:fmt="numberInDash" w:start="1"/>
          <w:cols w:space="425" w:num="1"/>
          <w:docGrid w:type="lines" w:linePitch="312" w:charSpace="0"/>
        </w:sectPr>
      </w:pPr>
    </w:p>
    <w:p>
      <w:pPr>
        <w:pStyle w:val="8"/>
        <w:numPr>
          <w:ilvl w:val="0"/>
          <w:numId w:val="3"/>
        </w:numPr>
        <w:ind w:firstLineChars="0"/>
        <w:jc w:val="center"/>
        <w:rPr>
          <w:rFonts w:ascii="仿宋_GB2312" w:hAnsi="仿宋_GB2312" w:eastAsia="仿宋_GB2312" w:cs="仿宋_GB2312"/>
          <w:sz w:val="32"/>
          <w:szCs w:val="32"/>
        </w:rPr>
      </w:pPr>
      <w:r>
        <w:rPr>
          <w:rFonts w:ascii="黑体" w:hAnsi="黑体" w:eastAsia="黑体" w:cs="仿宋_GB2312"/>
          <w:sz w:val="32"/>
          <w:szCs w:val="32"/>
        </w:rPr>
        <w:t xml:space="preserve"> </w:t>
      </w:r>
      <w:r>
        <w:rPr>
          <w:rFonts w:hint="eastAsia" w:ascii="黑体" w:hAnsi="黑体" w:eastAsia="黑体" w:cs="仿宋_GB2312"/>
          <w:sz w:val="32"/>
          <w:szCs w:val="32"/>
        </w:rPr>
        <w:t>海南省消费者委员会办公室</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spacing w:line="576"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主要职能</w:t>
      </w:r>
    </w:p>
    <w:p>
      <w:pPr>
        <w:spacing w:line="576"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（一）向消费者提供消费信息和咨询服务，提高消费者维护自身合法权益的能力，引导文明、健康、节约资源和保护环境的消费方式；</w:t>
      </w:r>
    </w:p>
    <w:p>
      <w:pPr>
        <w:spacing w:line="576"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（二）参与制定有关消费者权益的法律、法规、规章和强制性标准；</w:t>
      </w:r>
    </w:p>
    <w:p>
      <w:pPr>
        <w:spacing w:line="576"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（三）参与有关行政部门对商品和服务的监督、检查；</w:t>
      </w:r>
    </w:p>
    <w:p>
      <w:pPr>
        <w:spacing w:line="576"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（四）就有关消费者合法权益的问题，向有关行政部门反映、查询，提出建议；</w:t>
      </w:r>
    </w:p>
    <w:p>
      <w:pPr>
        <w:spacing w:line="576"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（五）受理消费者的投诉，对投诉事项进行调查、调解；</w:t>
      </w:r>
    </w:p>
    <w:p>
      <w:pPr>
        <w:spacing w:line="576"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（六）投诉事项涉及商品和服务质量问题的，可以委托具备资格的鉴定人鉴定；</w:t>
      </w:r>
    </w:p>
    <w:p>
      <w:pPr>
        <w:spacing w:line="576"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（七）就损害消费者合法权益的行为，支持受损害消费者提起诉讼；</w:t>
      </w:r>
    </w:p>
    <w:p>
      <w:pPr>
        <w:spacing w:line="576"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（八）对损害消费者合法权益的行为，通过大众传播媒介予以揭露、批评。</w:t>
      </w:r>
    </w:p>
    <w:p>
      <w:pPr>
        <w:spacing w:line="576" w:lineRule="exact"/>
        <w:ind w:left="800"/>
        <w:jc w:val="center"/>
        <w:rPr>
          <w:rFonts w:ascii="仿宋_GB2312" w:hAnsi="黑体" w:eastAsia="仿宋_GB2312" w:cs="仿宋_GB2312"/>
          <w:sz w:val="32"/>
          <w:szCs w:val="32"/>
        </w:rPr>
      </w:pPr>
    </w:p>
    <w:p>
      <w:pPr>
        <w:spacing w:line="576" w:lineRule="exact"/>
        <w:ind w:left="80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cs="仿宋_GB2312"/>
          <w:sz w:val="32"/>
          <w:szCs w:val="32"/>
        </w:rPr>
        <w:t>海南省消费者委员会办公室2023</w:t>
      </w:r>
      <w:r>
        <w:rPr>
          <w:rFonts w:hint="eastAsia" w:ascii="黑体" w:hAnsi="黑体" w:eastAsia="黑体"/>
          <w:sz w:val="32"/>
          <w:szCs w:val="32"/>
        </w:rPr>
        <w:t>年预算表</w:t>
      </w:r>
    </w:p>
    <w:p>
      <w:pPr>
        <w:spacing w:line="576" w:lineRule="exact"/>
        <w:jc w:val="center"/>
        <w:rPr>
          <w:rFonts w:ascii="仿宋_GB2312" w:hAnsi="黑体" w:eastAsia="仿宋_GB2312"/>
          <w:sz w:val="32"/>
          <w:szCs w:val="32"/>
        </w:rPr>
      </w:pPr>
      <w:r>
        <w:rPr>
          <w:rFonts w:hint="eastAsia" w:ascii="仿宋_GB2312" w:hAnsi="黑体" w:eastAsia="仿宋_GB2312"/>
          <w:sz w:val="32"/>
          <w:szCs w:val="32"/>
        </w:rPr>
        <w:t>（此部分内容即为预算公开表）</w:t>
      </w:r>
    </w:p>
    <w:p>
      <w:pPr>
        <w:spacing w:line="576" w:lineRule="exact"/>
        <w:ind w:firstLine="640" w:firstLineChars="20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仿宋_GB2312"/>
          <w:sz w:val="32"/>
          <w:szCs w:val="32"/>
        </w:rPr>
        <w:t>海南省消费者委员会办公室2023</w:t>
      </w:r>
      <w:r>
        <w:rPr>
          <w:rFonts w:hint="eastAsia" w:ascii="黑体" w:hAnsi="黑体" w:eastAsia="黑体"/>
          <w:sz w:val="32"/>
          <w:szCs w:val="32"/>
        </w:rPr>
        <w:t>年预算情况说明</w:t>
      </w:r>
    </w:p>
    <w:p>
      <w:pPr>
        <w:spacing w:line="576" w:lineRule="exact"/>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仿宋_GB2312"/>
          <w:sz w:val="32"/>
          <w:szCs w:val="32"/>
        </w:rPr>
        <w:t>海南省消费者委员会办公室2023</w:t>
      </w:r>
      <w:r>
        <w:rPr>
          <w:rFonts w:hint="eastAsia" w:ascii="黑体" w:hAnsi="黑体" w:eastAsia="黑体"/>
          <w:sz w:val="32"/>
          <w:szCs w:val="32"/>
        </w:rPr>
        <w:t>年财政拨款收支预算情况的总体说明</w:t>
      </w:r>
    </w:p>
    <w:p>
      <w:pPr>
        <w:spacing w:line="576" w:lineRule="exact"/>
        <w:ind w:firstLine="640" w:firstLineChars="200"/>
        <w:rPr>
          <w:rFonts w:ascii="仿宋_GB2312" w:hAnsi="黑体" w:eastAsia="仿宋_GB2312"/>
          <w:sz w:val="32"/>
          <w:szCs w:val="32"/>
        </w:rPr>
      </w:pPr>
      <w:r>
        <w:rPr>
          <w:rFonts w:hint="eastAsia" w:ascii="仿宋_GB2312" w:hAnsi="黑体" w:eastAsia="仿宋_GB2312"/>
          <w:sz w:val="32"/>
          <w:szCs w:val="32"/>
        </w:rPr>
        <w:t>海南省消费者委员会办公室2023年财政拨款收支总预算</w:t>
      </w:r>
      <w:r>
        <w:rPr>
          <w:rFonts w:ascii="仿宋_GB2312" w:hAnsi="黑体" w:eastAsia="仿宋_GB2312" w:cs="仿宋_GB2312"/>
          <w:sz w:val="32"/>
          <w:szCs w:val="32"/>
        </w:rPr>
        <w:t>1</w:t>
      </w:r>
      <w:r>
        <w:rPr>
          <w:rFonts w:hint="eastAsia" w:ascii="仿宋_GB2312" w:hAnsi="黑体" w:eastAsia="仿宋_GB2312" w:cs="仿宋_GB2312"/>
          <w:sz w:val="32"/>
          <w:szCs w:val="32"/>
        </w:rPr>
        <w:t>55.93</w:t>
      </w:r>
      <w:r>
        <w:rPr>
          <w:rFonts w:hint="eastAsia" w:ascii="仿宋_GB2312" w:hAnsi="黑体" w:eastAsia="仿宋_GB2312"/>
          <w:sz w:val="32"/>
          <w:szCs w:val="32"/>
        </w:rPr>
        <w:t>万元。其中，收</w:t>
      </w:r>
      <w:r>
        <w:rPr>
          <w:rFonts w:ascii="仿宋_GB2312" w:hAnsi="黑体" w:eastAsia="仿宋_GB2312"/>
          <w:sz w:val="32"/>
          <w:szCs w:val="32"/>
        </w:rPr>
        <w:t>入总计</w:t>
      </w:r>
      <w:r>
        <w:rPr>
          <w:rFonts w:hint="eastAsia" w:ascii="仿宋_GB2312" w:hAnsi="黑体" w:eastAsia="仿宋_GB2312" w:cs="仿宋_GB2312"/>
          <w:sz w:val="32"/>
          <w:szCs w:val="32"/>
        </w:rPr>
        <w:t>155.93</w:t>
      </w:r>
      <w:r>
        <w:rPr>
          <w:rFonts w:hint="eastAsia" w:ascii="仿宋_GB2312" w:hAnsi="黑体" w:eastAsia="仿宋_GB2312"/>
          <w:sz w:val="32"/>
          <w:szCs w:val="32"/>
        </w:rPr>
        <w:t>万元，比上年预算增加了4.95万元，主要是2023年基本支出预算增加了4.95万元。其中，收入总计155.93万元，</w:t>
      </w:r>
      <w:r>
        <w:rPr>
          <w:rFonts w:ascii="仿宋_GB2312" w:hAnsi="黑体" w:eastAsia="仿宋_GB2312"/>
          <w:sz w:val="32"/>
          <w:szCs w:val="32"/>
        </w:rPr>
        <w:t>包括</w:t>
      </w:r>
      <w:r>
        <w:rPr>
          <w:rFonts w:hint="eastAsia" w:ascii="仿宋_GB2312" w:hAnsi="黑体" w:eastAsia="仿宋_GB2312"/>
          <w:sz w:val="32"/>
          <w:szCs w:val="32"/>
        </w:rPr>
        <w:t>一般公共预算拨款收入155.93</w:t>
      </w:r>
      <w:r>
        <w:rPr>
          <w:rFonts w:hint="eastAsia" w:ascii="仿宋_GB2312" w:hAnsi="黑体" w:eastAsia="仿宋_GB2312" w:cs="仿宋_GB2312"/>
          <w:sz w:val="32"/>
          <w:szCs w:val="32"/>
        </w:rPr>
        <w:t>万元</w:t>
      </w:r>
      <w:r>
        <w:rPr>
          <w:rFonts w:hint="eastAsia" w:ascii="仿宋_GB2312" w:hAnsi="黑体" w:eastAsia="仿宋_GB2312"/>
          <w:sz w:val="32"/>
          <w:szCs w:val="32"/>
        </w:rPr>
        <w:t>；支出总计155.93万元，包括一般公共服务支出</w:t>
      </w:r>
      <w:r>
        <w:rPr>
          <w:rFonts w:hint="eastAsia" w:ascii="仿宋_GB2312" w:hAnsi="黑体" w:eastAsia="仿宋_GB2312" w:cs="仿宋_GB2312"/>
          <w:sz w:val="32"/>
          <w:szCs w:val="32"/>
        </w:rPr>
        <w:t>114.27</w:t>
      </w:r>
      <w:r>
        <w:rPr>
          <w:rFonts w:hint="eastAsia" w:ascii="仿宋_GB2312" w:hAnsi="黑体" w:eastAsia="仿宋_GB2312"/>
          <w:sz w:val="32"/>
          <w:szCs w:val="32"/>
        </w:rPr>
        <w:t>万元、社会</w:t>
      </w:r>
      <w:r>
        <w:rPr>
          <w:rFonts w:ascii="仿宋_GB2312" w:hAnsi="黑体" w:eastAsia="仿宋_GB2312"/>
          <w:sz w:val="32"/>
          <w:szCs w:val="32"/>
        </w:rPr>
        <w:t>保障和就业支出</w:t>
      </w:r>
      <w:r>
        <w:rPr>
          <w:rFonts w:hint="eastAsia" w:ascii="仿宋_GB2312" w:hAnsi="黑体" w:eastAsia="仿宋_GB2312"/>
          <w:sz w:val="32"/>
          <w:szCs w:val="32"/>
        </w:rPr>
        <w:t>29.24万</w:t>
      </w:r>
      <w:r>
        <w:rPr>
          <w:rFonts w:ascii="仿宋_GB2312" w:hAnsi="黑体" w:eastAsia="仿宋_GB2312"/>
          <w:sz w:val="32"/>
          <w:szCs w:val="32"/>
        </w:rPr>
        <w:t>元、</w:t>
      </w:r>
      <w:r>
        <w:rPr>
          <w:rFonts w:hint="eastAsia" w:ascii="仿宋_GB2312" w:hAnsi="黑体" w:eastAsia="仿宋_GB2312"/>
          <w:sz w:val="32"/>
          <w:szCs w:val="32"/>
        </w:rPr>
        <w:t>卫生</w:t>
      </w:r>
      <w:r>
        <w:rPr>
          <w:rFonts w:ascii="仿宋_GB2312" w:hAnsi="黑体" w:eastAsia="仿宋_GB2312"/>
          <w:sz w:val="32"/>
          <w:szCs w:val="32"/>
        </w:rPr>
        <w:t>健康支出</w:t>
      </w:r>
      <w:r>
        <w:rPr>
          <w:rFonts w:hint="eastAsia" w:ascii="仿宋_GB2312" w:hAnsi="黑体" w:eastAsia="仿宋_GB2312"/>
          <w:sz w:val="32"/>
          <w:szCs w:val="32"/>
        </w:rPr>
        <w:t>4.02万</w:t>
      </w:r>
      <w:r>
        <w:rPr>
          <w:rFonts w:ascii="仿宋_GB2312" w:hAnsi="黑体" w:eastAsia="仿宋_GB2312"/>
          <w:sz w:val="32"/>
          <w:szCs w:val="32"/>
        </w:rPr>
        <w:t>元</w:t>
      </w:r>
      <w:r>
        <w:rPr>
          <w:rFonts w:hint="eastAsia" w:ascii="仿宋_GB2312" w:hAnsi="黑体" w:eastAsia="仿宋_GB2312"/>
          <w:sz w:val="32"/>
          <w:szCs w:val="32"/>
        </w:rPr>
        <w:t>、</w:t>
      </w:r>
      <w:r>
        <w:rPr>
          <w:rFonts w:ascii="仿宋_GB2312" w:hAnsi="黑体" w:eastAsia="仿宋_GB2312"/>
          <w:sz w:val="32"/>
          <w:szCs w:val="32"/>
        </w:rPr>
        <w:t>住房保障支出</w:t>
      </w:r>
      <w:r>
        <w:rPr>
          <w:rFonts w:hint="eastAsia" w:ascii="仿宋_GB2312" w:hAnsi="黑体" w:eastAsia="仿宋_GB2312"/>
          <w:sz w:val="32"/>
          <w:szCs w:val="32"/>
        </w:rPr>
        <w:t>8.41万</w:t>
      </w:r>
      <w:r>
        <w:rPr>
          <w:rFonts w:ascii="仿宋_GB2312" w:hAnsi="黑体" w:eastAsia="仿宋_GB2312"/>
          <w:sz w:val="32"/>
          <w:szCs w:val="32"/>
        </w:rPr>
        <w:t>元</w:t>
      </w:r>
      <w:r>
        <w:rPr>
          <w:rFonts w:hint="eastAsia" w:ascii="仿宋_GB2312" w:hAnsi="黑体" w:eastAsia="仿宋_GB2312"/>
          <w:sz w:val="32"/>
          <w:szCs w:val="32"/>
        </w:rPr>
        <w:t>。</w:t>
      </w:r>
    </w:p>
    <w:p>
      <w:pPr>
        <w:spacing w:line="576" w:lineRule="exact"/>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仿宋_GB2312"/>
          <w:sz w:val="32"/>
          <w:szCs w:val="32"/>
        </w:rPr>
        <w:t>海南省消费者委员会办公室2023年</w:t>
      </w:r>
      <w:r>
        <w:rPr>
          <w:rFonts w:hint="eastAsia" w:ascii="黑体" w:hAnsi="黑体" w:eastAsia="黑体"/>
          <w:sz w:val="32"/>
          <w:szCs w:val="32"/>
        </w:rPr>
        <w:t>一般公共预算当年拨款情况说明</w:t>
      </w:r>
    </w:p>
    <w:p>
      <w:pPr>
        <w:spacing w:line="576"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spacing w:line="576" w:lineRule="exact"/>
        <w:ind w:firstLine="640" w:firstLineChars="200"/>
        <w:jc w:val="left"/>
        <w:rPr>
          <w:rFonts w:ascii="仿宋_GB2312" w:hAnsi="黑体" w:eastAsia="仿宋_GB2312" w:cs="仿宋_GB2312"/>
          <w:sz w:val="32"/>
          <w:szCs w:val="32"/>
        </w:rPr>
      </w:pPr>
      <w:r>
        <w:rPr>
          <w:rFonts w:hint="eastAsia" w:ascii="仿宋_GB2312" w:hAnsi="黑体" w:eastAsia="仿宋_GB2312"/>
          <w:sz w:val="32"/>
          <w:szCs w:val="32"/>
        </w:rPr>
        <w:t>海南省消费者委员会办公室2023年一般公共预算当年拨款155.93万元，</w:t>
      </w:r>
      <w:r>
        <w:rPr>
          <w:rFonts w:hint="eastAsia" w:ascii="仿宋_GB2312" w:hAnsi="黑体" w:eastAsia="仿宋_GB2312"/>
          <w:kern w:val="0"/>
          <w:sz w:val="32"/>
          <w:szCs w:val="32"/>
        </w:rPr>
        <w:t>比上年预算数</w:t>
      </w:r>
      <w:r>
        <w:rPr>
          <w:rFonts w:hint="eastAsia" w:ascii="仿宋_GB2312" w:hAnsi="黑体" w:eastAsia="仿宋_GB2312" w:cs="仿宋_GB2312"/>
          <w:kern w:val="0"/>
          <w:sz w:val="32"/>
          <w:szCs w:val="32"/>
        </w:rPr>
        <w:t>增加4.95</w:t>
      </w:r>
      <w:r>
        <w:rPr>
          <w:rFonts w:hint="eastAsia" w:ascii="仿宋_GB2312" w:hAnsi="黑体" w:eastAsia="仿宋_GB2312"/>
          <w:kern w:val="0"/>
          <w:sz w:val="32"/>
          <w:szCs w:val="32"/>
        </w:rPr>
        <w:t>万元，</w:t>
      </w:r>
      <w:r>
        <w:rPr>
          <w:rFonts w:hint="eastAsia" w:ascii="仿宋_GB2312" w:hAnsi="黑体" w:eastAsia="仿宋_GB2312"/>
          <w:color w:val="000000" w:themeColor="text1"/>
          <w:kern w:val="0"/>
          <w:sz w:val="32"/>
          <w:szCs w:val="32"/>
        </w:rPr>
        <w:t>主要是基本支出预算</w:t>
      </w:r>
      <w:r>
        <w:rPr>
          <w:rFonts w:ascii="仿宋_GB2312" w:hAnsi="黑体" w:eastAsia="仿宋_GB2312"/>
          <w:color w:val="000000" w:themeColor="text1"/>
          <w:kern w:val="0"/>
          <w:sz w:val="32"/>
          <w:szCs w:val="32"/>
        </w:rPr>
        <w:t>增加</w:t>
      </w:r>
      <w:r>
        <w:rPr>
          <w:rFonts w:hint="eastAsia" w:ascii="仿宋_GB2312" w:hAnsi="黑体" w:eastAsia="仿宋_GB2312"/>
          <w:sz w:val="32"/>
          <w:szCs w:val="32"/>
        </w:rPr>
        <w:t>4.95万元</w:t>
      </w:r>
      <w:r>
        <w:rPr>
          <w:rFonts w:hint="eastAsia" w:ascii="仿宋_GB2312" w:hAnsi="黑体" w:eastAsia="仿宋_GB2312"/>
          <w:color w:val="000000" w:themeColor="text1"/>
          <w:kern w:val="0"/>
          <w:sz w:val="32"/>
          <w:szCs w:val="32"/>
        </w:rPr>
        <w:t>。</w:t>
      </w:r>
    </w:p>
    <w:p>
      <w:pPr>
        <w:spacing w:line="576" w:lineRule="exact"/>
        <w:ind w:firstLine="640" w:firstLineChars="200"/>
        <w:rPr>
          <w:rFonts w:ascii="楷体" w:hAnsi="楷体" w:eastAsia="楷体"/>
          <w:sz w:val="32"/>
          <w:szCs w:val="32"/>
        </w:rPr>
      </w:pPr>
      <w:r>
        <w:rPr>
          <w:rFonts w:hint="eastAsia" w:ascii="楷体" w:hAnsi="楷体" w:eastAsia="楷体"/>
          <w:sz w:val="32"/>
          <w:szCs w:val="32"/>
        </w:rPr>
        <w:t>（二）一般公共预算当年拨款结构情况</w:t>
      </w:r>
    </w:p>
    <w:p>
      <w:pPr>
        <w:spacing w:line="576" w:lineRule="exact"/>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一般公共服务（类）支出114.27</w:t>
      </w:r>
      <w:r>
        <w:rPr>
          <w:rFonts w:hint="eastAsia" w:ascii="仿宋_GB2312" w:hAnsi="黑体" w:eastAsia="仿宋_GB2312"/>
          <w:sz w:val="32"/>
          <w:szCs w:val="32"/>
        </w:rPr>
        <w:t>万元，占</w:t>
      </w:r>
      <w:r>
        <w:rPr>
          <w:rFonts w:hint="eastAsia" w:ascii="仿宋_GB2312" w:hAnsi="黑体" w:eastAsia="仿宋_GB2312" w:cs="仿宋_GB2312"/>
          <w:sz w:val="32"/>
          <w:szCs w:val="32"/>
        </w:rPr>
        <w:t>73.28</w:t>
      </w:r>
      <w:r>
        <w:rPr>
          <w:rFonts w:ascii="仿宋_GB2312" w:hAnsi="黑体" w:eastAsia="仿宋_GB2312"/>
          <w:sz w:val="32"/>
          <w:szCs w:val="32"/>
        </w:rPr>
        <w:t>%</w:t>
      </w:r>
      <w:r>
        <w:rPr>
          <w:rFonts w:hint="eastAsia" w:ascii="仿宋_GB2312" w:hAnsi="黑体" w:eastAsia="仿宋_GB2312"/>
          <w:sz w:val="32"/>
          <w:szCs w:val="32"/>
        </w:rPr>
        <w:t>；社会保障和就业支出29.24万元，占</w:t>
      </w:r>
      <w:r>
        <w:rPr>
          <w:rFonts w:hint="eastAsia" w:ascii="仿宋_GB2312" w:hAnsi="黑体" w:eastAsia="仿宋_GB2312" w:cs="仿宋_GB2312"/>
          <w:sz w:val="32"/>
          <w:szCs w:val="32"/>
        </w:rPr>
        <w:t>18.75</w:t>
      </w:r>
      <w:r>
        <w:rPr>
          <w:rFonts w:ascii="仿宋_GB2312" w:hAnsi="黑体" w:eastAsia="仿宋_GB2312"/>
          <w:sz w:val="32"/>
          <w:szCs w:val="32"/>
        </w:rPr>
        <w:t>%</w:t>
      </w:r>
      <w:r>
        <w:rPr>
          <w:rFonts w:hint="eastAsia" w:ascii="仿宋_GB2312" w:hAnsi="黑体" w:eastAsia="仿宋_GB2312"/>
          <w:sz w:val="32"/>
          <w:szCs w:val="32"/>
        </w:rPr>
        <w:t>；卫生健康支出4.02万元，占</w:t>
      </w:r>
      <w:r>
        <w:rPr>
          <w:rFonts w:hint="eastAsia" w:ascii="仿宋_GB2312" w:hAnsi="黑体" w:eastAsia="仿宋_GB2312" w:cs="仿宋_GB2312"/>
          <w:sz w:val="32"/>
          <w:szCs w:val="32"/>
        </w:rPr>
        <w:t>2.58</w:t>
      </w:r>
      <w:r>
        <w:rPr>
          <w:rFonts w:ascii="仿宋_GB2312" w:hAnsi="黑体" w:eastAsia="仿宋_GB2312"/>
          <w:sz w:val="32"/>
          <w:szCs w:val="32"/>
        </w:rPr>
        <w:t>%</w:t>
      </w:r>
      <w:r>
        <w:rPr>
          <w:rFonts w:hint="eastAsia" w:ascii="仿宋_GB2312" w:hAnsi="黑体" w:eastAsia="仿宋_GB2312"/>
          <w:sz w:val="32"/>
          <w:szCs w:val="32"/>
        </w:rPr>
        <w:t>；住房保障支出8.41万元，占</w:t>
      </w:r>
      <w:r>
        <w:rPr>
          <w:rFonts w:hint="eastAsia" w:ascii="仿宋_GB2312" w:hAnsi="黑体" w:eastAsia="仿宋_GB2312" w:cs="仿宋_GB2312"/>
          <w:sz w:val="32"/>
          <w:szCs w:val="32"/>
        </w:rPr>
        <w:t>5.39</w:t>
      </w:r>
      <w:r>
        <w:rPr>
          <w:rFonts w:ascii="仿宋_GB2312" w:hAnsi="黑体" w:eastAsia="仿宋_GB2312"/>
          <w:sz w:val="32"/>
          <w:szCs w:val="32"/>
        </w:rPr>
        <w:t>%</w:t>
      </w:r>
      <w:r>
        <w:rPr>
          <w:rFonts w:hint="eastAsia" w:ascii="仿宋_GB2312" w:hAnsi="黑体" w:eastAsia="仿宋_GB2312"/>
          <w:sz w:val="32"/>
          <w:szCs w:val="32"/>
        </w:rPr>
        <w:t>。</w:t>
      </w:r>
    </w:p>
    <w:p>
      <w:pPr>
        <w:spacing w:line="576"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spacing w:line="576" w:lineRule="exact"/>
        <w:ind w:firstLine="640" w:firstLineChars="200"/>
        <w:jc w:val="left"/>
        <w:rPr>
          <w:rFonts w:ascii="仿宋_GB2312" w:hAnsi="黑体" w:eastAsia="仿宋_GB2312" w:cs="仿宋_GB2312"/>
          <w:sz w:val="32"/>
          <w:szCs w:val="32"/>
        </w:rPr>
      </w:pPr>
      <w:r>
        <w:rPr>
          <w:rFonts w:ascii="仿宋_GB2312" w:hAnsi="黑体" w:eastAsia="仿宋_GB2312" w:cs="仿宋_GB2312"/>
          <w:sz w:val="32"/>
          <w:szCs w:val="32"/>
        </w:rPr>
        <w:t>1.</w:t>
      </w:r>
      <w:r>
        <w:rPr>
          <w:rFonts w:hint="eastAsia" w:ascii="仿宋_GB2312" w:hAnsi="黑体" w:eastAsia="仿宋_GB2312" w:cs="仿宋_GB2312"/>
          <w:sz w:val="32"/>
          <w:szCs w:val="32"/>
        </w:rPr>
        <w:t>一般公共服务（类）市场监督管理事务（款）行政运行（项）</w:t>
      </w:r>
      <w:r>
        <w:rPr>
          <w:rFonts w:ascii="仿宋_GB2312" w:hAnsi="黑体" w:eastAsia="仿宋_GB2312" w:cs="仿宋_GB2312"/>
          <w:sz w:val="32"/>
          <w:szCs w:val="32"/>
        </w:rPr>
        <w:t>202</w:t>
      </w:r>
      <w:r>
        <w:rPr>
          <w:rFonts w:hint="eastAsia" w:ascii="仿宋_GB2312" w:hAnsi="黑体" w:eastAsia="仿宋_GB2312" w:cs="仿宋_GB2312"/>
          <w:sz w:val="32"/>
          <w:szCs w:val="32"/>
        </w:rPr>
        <w:t>3</w:t>
      </w:r>
      <w:r>
        <w:rPr>
          <w:rFonts w:hint="eastAsia" w:ascii="仿宋_GB2312" w:hAnsi="黑体" w:eastAsia="仿宋_GB2312"/>
          <w:sz w:val="32"/>
          <w:szCs w:val="32"/>
        </w:rPr>
        <w:t>年预算数为100.81万</w:t>
      </w:r>
      <w:r>
        <w:rPr>
          <w:rFonts w:ascii="仿宋_GB2312" w:hAnsi="黑体" w:eastAsia="仿宋_GB2312"/>
          <w:sz w:val="32"/>
          <w:szCs w:val="32"/>
        </w:rPr>
        <w:t>元，</w:t>
      </w:r>
      <w:r>
        <w:rPr>
          <w:rFonts w:hint="eastAsia" w:ascii="仿宋_GB2312" w:hAnsi="黑体" w:eastAsia="仿宋_GB2312"/>
          <w:kern w:val="0"/>
          <w:sz w:val="32"/>
          <w:szCs w:val="32"/>
        </w:rPr>
        <w:t>比上年预算数</w:t>
      </w:r>
      <w:r>
        <w:rPr>
          <w:rFonts w:hint="eastAsia" w:ascii="仿宋_GB2312" w:hAnsi="黑体" w:eastAsia="仿宋_GB2312" w:cs="仿宋_GB2312"/>
          <w:kern w:val="0"/>
          <w:sz w:val="32"/>
          <w:szCs w:val="32"/>
        </w:rPr>
        <w:t>减少25.11</w:t>
      </w:r>
      <w:r>
        <w:rPr>
          <w:rFonts w:hint="eastAsia" w:ascii="仿宋_GB2312" w:hAnsi="黑体" w:eastAsia="仿宋_GB2312"/>
          <w:kern w:val="0"/>
          <w:sz w:val="32"/>
          <w:szCs w:val="32"/>
        </w:rPr>
        <w:t>万元，</w:t>
      </w:r>
      <w:r>
        <w:rPr>
          <w:rFonts w:hint="eastAsia" w:ascii="仿宋_GB2312" w:hAnsi="黑体" w:eastAsia="仿宋_GB2312"/>
          <w:color w:val="000000" w:themeColor="text1"/>
          <w:kern w:val="0"/>
          <w:sz w:val="32"/>
          <w:szCs w:val="32"/>
        </w:rPr>
        <w:t>主要原因一是</w:t>
      </w:r>
      <w:r>
        <w:rPr>
          <w:rFonts w:hint="eastAsia" w:ascii="仿宋_GB2312" w:hAnsi="CESI仿宋-GB2312" w:eastAsia="仿宋_GB2312" w:cs="CESI仿宋-GB2312"/>
          <w:sz w:val="32"/>
          <w:szCs w:val="32"/>
        </w:rPr>
        <w:t>2023年按照省财政厅下达的经常性项目目录，省消费者委员会办公室原“行政运行”预算项目调整为“综合运行事务”项目，列入“其他市场监督管理事务”（项）,另一主要原因是</w:t>
      </w:r>
      <w:r>
        <w:rPr>
          <w:rFonts w:hint="eastAsia" w:ascii="仿宋_GB2312" w:hAnsi="黑体" w:eastAsia="仿宋_GB2312" w:cs="仿宋_GB2312"/>
          <w:sz w:val="32"/>
          <w:szCs w:val="32"/>
        </w:rPr>
        <w:t>2022年一位职工退休，行政运行预算相应减少</w:t>
      </w:r>
      <w:r>
        <w:rPr>
          <w:rFonts w:hint="eastAsia" w:ascii="仿宋_GB2312" w:hAnsi="黑体" w:eastAsia="仿宋_GB2312"/>
          <w:color w:val="000000" w:themeColor="text1"/>
          <w:kern w:val="0"/>
          <w:sz w:val="32"/>
          <w:szCs w:val="32"/>
        </w:rPr>
        <w:t>。</w:t>
      </w:r>
    </w:p>
    <w:p>
      <w:pPr>
        <w:spacing w:line="576" w:lineRule="exact"/>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ascii="仿宋_GB2312" w:hAnsi="黑体" w:eastAsia="仿宋_GB2312"/>
          <w:sz w:val="32"/>
          <w:szCs w:val="32"/>
        </w:rPr>
        <w:t>.</w:t>
      </w:r>
      <w:r>
        <w:rPr>
          <w:rFonts w:hint="eastAsia" w:ascii="仿宋_GB2312" w:hAnsi="黑体" w:eastAsia="仿宋_GB2312" w:cs="仿宋_GB2312"/>
          <w:sz w:val="32"/>
          <w:szCs w:val="32"/>
        </w:rPr>
        <w:t>一般公共服务（类）市场监督管理事务（款）信息化建设（项）</w:t>
      </w:r>
      <w:r>
        <w:rPr>
          <w:rFonts w:ascii="仿宋_GB2312" w:hAnsi="黑体" w:eastAsia="仿宋_GB2312" w:cs="仿宋_GB2312"/>
          <w:sz w:val="32"/>
          <w:szCs w:val="32"/>
        </w:rPr>
        <w:t>202</w:t>
      </w:r>
      <w:r>
        <w:rPr>
          <w:rFonts w:hint="eastAsia" w:ascii="仿宋_GB2312" w:hAnsi="黑体" w:eastAsia="仿宋_GB2312" w:cs="仿宋_GB2312"/>
          <w:sz w:val="32"/>
          <w:szCs w:val="32"/>
        </w:rPr>
        <w:t>3</w:t>
      </w:r>
      <w:r>
        <w:rPr>
          <w:rFonts w:hint="eastAsia" w:ascii="仿宋_GB2312" w:hAnsi="黑体" w:eastAsia="仿宋_GB2312"/>
          <w:sz w:val="32"/>
          <w:szCs w:val="32"/>
        </w:rPr>
        <w:t>年预算数为2.4万元，与上年预算数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spacing w:line="576" w:lineRule="exact"/>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3.</w:t>
      </w:r>
      <w:r>
        <w:rPr>
          <w:rFonts w:hint="eastAsia" w:ascii="仿宋_GB2312" w:hAnsi="黑体" w:eastAsia="仿宋_GB2312" w:cs="仿宋_GB2312"/>
          <w:sz w:val="32"/>
          <w:szCs w:val="32"/>
        </w:rPr>
        <w:t xml:space="preserve"> 一般公共服务（类）市场监督管理事务（款）</w:t>
      </w:r>
      <w:r>
        <w:rPr>
          <w:rFonts w:hint="eastAsia" w:ascii="仿宋_GB2312" w:hAnsi="CESI仿宋-GB2312" w:eastAsia="仿宋_GB2312" w:cs="CESI仿宋-GB2312"/>
          <w:sz w:val="32"/>
          <w:szCs w:val="32"/>
        </w:rPr>
        <w:t>其他市场监督管理事务</w:t>
      </w:r>
      <w:r>
        <w:rPr>
          <w:rFonts w:hint="eastAsia" w:ascii="仿宋_GB2312" w:hAnsi="黑体" w:eastAsia="仿宋_GB2312" w:cs="仿宋_GB2312"/>
          <w:sz w:val="32"/>
          <w:szCs w:val="32"/>
        </w:rPr>
        <w:t>（项）2023年</w:t>
      </w:r>
      <w:r>
        <w:rPr>
          <w:rFonts w:hint="eastAsia" w:ascii="仿宋_GB2312" w:hAnsi="黑体" w:eastAsia="仿宋_GB2312"/>
          <w:sz w:val="32"/>
          <w:szCs w:val="32"/>
        </w:rPr>
        <w:t>预算数为11.06万元，此项为2023年新增项，主要是</w:t>
      </w:r>
      <w:r>
        <w:rPr>
          <w:rFonts w:hint="eastAsia" w:ascii="仿宋_GB2312" w:hAnsi="CESI仿宋-GB2312" w:eastAsia="仿宋_GB2312" w:cs="CESI仿宋-GB2312"/>
          <w:sz w:val="32"/>
          <w:szCs w:val="32"/>
        </w:rPr>
        <w:t>省消费者委员会办公室原“行政运行”项目调整为“综合运行事务”项目，列入“其他市场监督管理事务”（项）</w:t>
      </w:r>
      <w:r>
        <w:rPr>
          <w:rFonts w:hint="eastAsia" w:ascii="仿宋_GB2312" w:hAnsi="CESI仿宋-GB2312" w:eastAsia="仿宋_GB2312" w:cs="CESI仿宋-GB2312"/>
          <w:sz w:val="32"/>
          <w:szCs w:val="32"/>
          <w:lang w:eastAsia="zh-CN"/>
        </w:rPr>
        <w:t>。</w:t>
      </w:r>
      <w:bookmarkStart w:id="0" w:name="_GoBack"/>
      <w:bookmarkEnd w:id="0"/>
    </w:p>
    <w:p>
      <w:pPr>
        <w:spacing w:line="576" w:lineRule="exact"/>
        <w:ind w:firstLine="640" w:firstLineChars="200"/>
        <w:rPr>
          <w:rFonts w:ascii="仿宋_GB2312" w:hAnsi="黑体" w:eastAsia="仿宋_GB2312"/>
          <w:sz w:val="32"/>
          <w:szCs w:val="32"/>
        </w:rPr>
      </w:pPr>
      <w:r>
        <w:rPr>
          <w:rFonts w:hint="eastAsia" w:ascii="仿宋_GB2312" w:hAnsi="黑体" w:eastAsia="仿宋_GB2312"/>
          <w:sz w:val="32"/>
          <w:szCs w:val="32"/>
        </w:rPr>
        <w:t>4</w:t>
      </w:r>
      <w:r>
        <w:rPr>
          <w:rFonts w:ascii="仿宋_GB2312" w:hAnsi="黑体" w:eastAsia="仿宋_GB2312"/>
          <w:sz w:val="32"/>
          <w:szCs w:val="32"/>
        </w:rPr>
        <w:t>.</w:t>
      </w:r>
      <w:r>
        <w:rPr>
          <w:rFonts w:hint="eastAsia" w:ascii="仿宋_GB2312" w:hAnsi="黑体" w:eastAsia="仿宋_GB2312"/>
          <w:sz w:val="32"/>
          <w:szCs w:val="32"/>
        </w:rPr>
        <w:t>社会保障和就业支出</w:t>
      </w:r>
      <w:r>
        <w:rPr>
          <w:rFonts w:ascii="仿宋_GB2312" w:hAnsi="黑体" w:eastAsia="仿宋_GB2312" w:cs="仿宋_GB2312"/>
          <w:sz w:val="32"/>
          <w:szCs w:val="32"/>
        </w:rPr>
        <w:t>（类）</w:t>
      </w:r>
      <w:r>
        <w:rPr>
          <w:rFonts w:hint="eastAsia" w:ascii="仿宋_GB2312" w:hAnsi="黑体" w:eastAsia="仿宋_GB2312" w:cs="仿宋_GB2312"/>
          <w:sz w:val="32"/>
          <w:szCs w:val="32"/>
        </w:rPr>
        <w:t>行政事业单位养老支出</w:t>
      </w:r>
      <w:r>
        <w:rPr>
          <w:rFonts w:ascii="仿宋_GB2312" w:hAnsi="黑体" w:eastAsia="仿宋_GB2312" w:cs="仿宋_GB2312"/>
          <w:sz w:val="32"/>
          <w:szCs w:val="32"/>
        </w:rPr>
        <w:t>（款）</w:t>
      </w:r>
      <w:r>
        <w:rPr>
          <w:rFonts w:hint="eastAsia" w:ascii="仿宋_GB2312" w:hAnsi="黑体" w:eastAsia="仿宋_GB2312" w:cs="仿宋_GB2312"/>
          <w:sz w:val="32"/>
          <w:szCs w:val="32"/>
        </w:rPr>
        <w:t>机关事业单位基本养老保险缴费支出</w:t>
      </w:r>
      <w:r>
        <w:rPr>
          <w:rFonts w:ascii="仿宋_GB2312" w:hAnsi="黑体" w:eastAsia="仿宋_GB2312" w:cs="仿宋_GB2312"/>
          <w:sz w:val="32"/>
          <w:szCs w:val="32"/>
        </w:rPr>
        <w:t>（项）202</w:t>
      </w:r>
      <w:r>
        <w:rPr>
          <w:rFonts w:hint="eastAsia" w:ascii="仿宋_GB2312" w:hAnsi="黑体" w:eastAsia="仿宋_GB2312" w:cs="仿宋_GB2312"/>
          <w:sz w:val="32"/>
          <w:szCs w:val="32"/>
        </w:rPr>
        <w:t>3</w:t>
      </w:r>
      <w:r>
        <w:rPr>
          <w:rFonts w:hint="eastAsia" w:ascii="仿宋_GB2312" w:hAnsi="黑体" w:eastAsia="仿宋_GB2312"/>
          <w:sz w:val="32"/>
          <w:szCs w:val="32"/>
        </w:rPr>
        <w:t>年预算数为</w:t>
      </w:r>
      <w:r>
        <w:rPr>
          <w:rFonts w:hint="eastAsia" w:ascii="仿宋_GB2312" w:hAnsi="黑体" w:eastAsia="仿宋_GB2312" w:cs="仿宋_GB2312"/>
          <w:sz w:val="32"/>
          <w:szCs w:val="32"/>
        </w:rPr>
        <w:t>9.37</w:t>
      </w:r>
      <w:r>
        <w:rPr>
          <w:rFonts w:hint="eastAsia" w:ascii="仿宋_GB2312" w:hAnsi="黑体" w:eastAsia="仿宋_GB2312"/>
          <w:sz w:val="32"/>
          <w:szCs w:val="32"/>
        </w:rPr>
        <w:t>万元，与上年预算数基本持平；社会保障和就业支出</w:t>
      </w:r>
      <w:r>
        <w:rPr>
          <w:rFonts w:ascii="仿宋_GB2312" w:hAnsi="黑体" w:eastAsia="仿宋_GB2312" w:cs="仿宋_GB2312"/>
          <w:sz w:val="32"/>
          <w:szCs w:val="32"/>
        </w:rPr>
        <w:t>（类）</w:t>
      </w:r>
      <w:r>
        <w:rPr>
          <w:rFonts w:hint="eastAsia" w:ascii="仿宋_GB2312" w:hAnsi="黑体" w:eastAsia="仿宋_GB2312" w:cs="仿宋_GB2312"/>
          <w:sz w:val="32"/>
          <w:szCs w:val="32"/>
        </w:rPr>
        <w:t>行政事业单位养老支出</w:t>
      </w:r>
      <w:r>
        <w:rPr>
          <w:rFonts w:ascii="仿宋_GB2312" w:hAnsi="黑体" w:eastAsia="仿宋_GB2312" w:cs="仿宋_GB2312"/>
          <w:sz w:val="32"/>
          <w:szCs w:val="32"/>
        </w:rPr>
        <w:t>（款）</w:t>
      </w:r>
      <w:r>
        <w:rPr>
          <w:rFonts w:hint="eastAsia" w:ascii="仿宋_GB2312" w:hAnsi="黑体" w:eastAsia="仿宋_GB2312" w:cs="仿宋_GB2312"/>
          <w:sz w:val="32"/>
          <w:szCs w:val="32"/>
        </w:rPr>
        <w:t>机关事业单位职业年金缴费支出</w:t>
      </w:r>
      <w:r>
        <w:rPr>
          <w:rFonts w:ascii="仿宋_GB2312" w:hAnsi="黑体" w:eastAsia="仿宋_GB2312" w:cs="仿宋_GB2312"/>
          <w:sz w:val="32"/>
          <w:szCs w:val="32"/>
        </w:rPr>
        <w:t>（项）</w:t>
      </w:r>
      <w:r>
        <w:rPr>
          <w:rFonts w:hint="eastAsia" w:ascii="仿宋_GB2312" w:hAnsi="黑体" w:eastAsia="仿宋_GB2312"/>
          <w:sz w:val="32"/>
          <w:szCs w:val="32"/>
        </w:rPr>
        <w:t>19.87万元，此项为2023年新增项，主要是增加了2023年单位职业年金缴费预算4.69万元及2014年-2018年单位职业年金缴费预算15.18万元</w:t>
      </w:r>
      <w:r>
        <w:rPr>
          <w:rFonts w:ascii="仿宋_GB2312" w:hAnsi="黑体" w:eastAsia="仿宋_GB2312"/>
          <w:sz w:val="32"/>
          <w:szCs w:val="32"/>
        </w:rPr>
        <w:t>。</w:t>
      </w:r>
    </w:p>
    <w:p>
      <w:pPr>
        <w:spacing w:line="576" w:lineRule="exact"/>
        <w:ind w:firstLine="640" w:firstLineChars="200"/>
        <w:rPr>
          <w:rFonts w:ascii="仿宋_GB2312" w:hAnsi="黑体" w:eastAsia="仿宋_GB2312"/>
          <w:sz w:val="32"/>
          <w:szCs w:val="32"/>
        </w:rPr>
      </w:pPr>
      <w:r>
        <w:rPr>
          <w:rFonts w:hint="eastAsia" w:ascii="仿宋_GB2312" w:hAnsi="黑体" w:eastAsia="仿宋_GB2312"/>
          <w:sz w:val="32"/>
          <w:szCs w:val="32"/>
        </w:rPr>
        <w:t>5</w:t>
      </w:r>
      <w:r>
        <w:rPr>
          <w:rFonts w:ascii="仿宋_GB2312" w:hAnsi="黑体" w:eastAsia="仿宋_GB2312"/>
          <w:sz w:val="32"/>
          <w:szCs w:val="32"/>
        </w:rPr>
        <w:t>.</w:t>
      </w:r>
      <w:r>
        <w:rPr>
          <w:rFonts w:hint="eastAsia" w:ascii="仿宋_GB2312" w:hAnsi="黑体" w:eastAsia="仿宋_GB2312"/>
          <w:sz w:val="32"/>
          <w:szCs w:val="32"/>
        </w:rPr>
        <w:t>卫生健康支出</w:t>
      </w:r>
      <w:r>
        <w:rPr>
          <w:rFonts w:ascii="仿宋_GB2312" w:hAnsi="黑体" w:eastAsia="仿宋_GB2312"/>
          <w:sz w:val="32"/>
          <w:szCs w:val="32"/>
        </w:rPr>
        <w:t>（类）</w:t>
      </w:r>
      <w:r>
        <w:rPr>
          <w:rFonts w:hint="eastAsia" w:ascii="仿宋_GB2312" w:hAnsi="黑体" w:eastAsia="仿宋_GB2312"/>
          <w:sz w:val="32"/>
          <w:szCs w:val="32"/>
        </w:rPr>
        <w:t>行政事业单位医疗（款</w:t>
      </w:r>
      <w:r>
        <w:rPr>
          <w:rFonts w:ascii="仿宋_GB2312" w:hAnsi="黑体" w:eastAsia="仿宋_GB2312"/>
          <w:sz w:val="32"/>
          <w:szCs w:val="32"/>
        </w:rPr>
        <w:t>）</w:t>
      </w:r>
      <w:r>
        <w:rPr>
          <w:rFonts w:hint="eastAsia" w:ascii="仿宋_GB2312" w:hAnsi="黑体" w:eastAsia="仿宋_GB2312"/>
          <w:sz w:val="32"/>
          <w:szCs w:val="32"/>
        </w:rPr>
        <w:t>行政单位医疗（项）</w:t>
      </w:r>
      <w:r>
        <w:rPr>
          <w:rFonts w:ascii="仿宋_GB2312" w:hAnsi="黑体" w:eastAsia="仿宋_GB2312" w:cs="仿宋_GB2312"/>
          <w:sz w:val="32"/>
          <w:szCs w:val="32"/>
        </w:rPr>
        <w:t>202</w:t>
      </w:r>
      <w:r>
        <w:rPr>
          <w:rFonts w:hint="eastAsia" w:ascii="仿宋_GB2312" w:hAnsi="黑体" w:eastAsia="仿宋_GB2312" w:cs="仿宋_GB2312"/>
          <w:sz w:val="32"/>
          <w:szCs w:val="32"/>
        </w:rPr>
        <w:t>3</w:t>
      </w:r>
      <w:r>
        <w:rPr>
          <w:rFonts w:hint="eastAsia" w:ascii="仿宋_GB2312" w:hAnsi="黑体" w:eastAsia="仿宋_GB2312"/>
          <w:sz w:val="32"/>
          <w:szCs w:val="32"/>
        </w:rPr>
        <w:t>年预算数为4.02</w:t>
      </w:r>
      <w:r>
        <w:rPr>
          <w:rFonts w:ascii="仿宋_GB2312" w:hAnsi="黑体" w:eastAsia="仿宋_GB2312" w:cs="仿宋_GB2312"/>
          <w:sz w:val="32"/>
          <w:szCs w:val="32"/>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减少0.99万元，主要是2022年一位职工退休，单位缴医疗保险预算减少</w:t>
      </w:r>
      <w:r>
        <w:rPr>
          <w:rFonts w:ascii="仿宋_GB2312" w:hAnsi="黑体" w:eastAsia="仿宋_GB2312"/>
          <w:sz w:val="32"/>
          <w:szCs w:val="32"/>
        </w:rPr>
        <w:t>。</w:t>
      </w:r>
    </w:p>
    <w:p>
      <w:pPr>
        <w:spacing w:line="576" w:lineRule="exact"/>
        <w:ind w:firstLine="640" w:firstLineChars="200"/>
        <w:rPr>
          <w:rFonts w:ascii="仿宋_GB2312" w:hAnsi="黑体" w:eastAsia="仿宋_GB2312"/>
          <w:sz w:val="32"/>
          <w:szCs w:val="32"/>
        </w:rPr>
      </w:pPr>
      <w:r>
        <w:rPr>
          <w:rFonts w:hint="eastAsia" w:ascii="仿宋_GB2312" w:hAnsi="黑体" w:eastAsia="仿宋_GB2312"/>
          <w:sz w:val="32"/>
          <w:szCs w:val="32"/>
        </w:rPr>
        <w:t>6</w:t>
      </w:r>
      <w:r>
        <w:rPr>
          <w:rFonts w:ascii="仿宋_GB2312" w:hAnsi="黑体" w:eastAsia="仿宋_GB2312"/>
          <w:sz w:val="32"/>
          <w:szCs w:val="32"/>
        </w:rPr>
        <w:t>.</w:t>
      </w:r>
      <w:r>
        <w:rPr>
          <w:rFonts w:hint="eastAsia" w:ascii="仿宋_GB2312" w:hAnsi="黑体" w:eastAsia="仿宋_GB2312"/>
          <w:sz w:val="32"/>
          <w:szCs w:val="32"/>
        </w:rPr>
        <w:t>住房保障支出</w:t>
      </w:r>
      <w:r>
        <w:rPr>
          <w:rFonts w:ascii="仿宋_GB2312" w:hAnsi="黑体" w:eastAsia="仿宋_GB2312"/>
          <w:sz w:val="32"/>
          <w:szCs w:val="32"/>
        </w:rPr>
        <w:t>（类）</w:t>
      </w:r>
      <w:r>
        <w:rPr>
          <w:rFonts w:hint="eastAsia" w:ascii="仿宋_GB2312" w:hAnsi="黑体" w:eastAsia="仿宋_GB2312"/>
          <w:sz w:val="32"/>
          <w:szCs w:val="32"/>
        </w:rPr>
        <w:t>住房改革支出（款</w:t>
      </w:r>
      <w:r>
        <w:rPr>
          <w:rFonts w:ascii="仿宋_GB2312" w:hAnsi="黑体" w:eastAsia="仿宋_GB2312"/>
          <w:sz w:val="32"/>
          <w:szCs w:val="32"/>
        </w:rPr>
        <w:t>）</w:t>
      </w:r>
      <w:r>
        <w:rPr>
          <w:rFonts w:hint="eastAsia" w:ascii="仿宋_GB2312" w:hAnsi="黑体" w:eastAsia="仿宋_GB2312"/>
          <w:sz w:val="32"/>
          <w:szCs w:val="32"/>
        </w:rPr>
        <w:t>住房公积金（项）</w:t>
      </w:r>
      <w:r>
        <w:rPr>
          <w:rFonts w:ascii="仿宋_GB2312" w:hAnsi="黑体" w:eastAsia="仿宋_GB2312" w:cs="仿宋_GB2312"/>
          <w:sz w:val="32"/>
          <w:szCs w:val="32"/>
        </w:rPr>
        <w:t>202</w:t>
      </w:r>
      <w:r>
        <w:rPr>
          <w:rFonts w:hint="eastAsia" w:ascii="仿宋_GB2312" w:hAnsi="黑体" w:eastAsia="仿宋_GB2312" w:cs="仿宋_GB2312"/>
          <w:sz w:val="32"/>
          <w:szCs w:val="32"/>
        </w:rPr>
        <w:t>3</w:t>
      </w:r>
      <w:r>
        <w:rPr>
          <w:rFonts w:hint="eastAsia" w:ascii="仿宋_GB2312" w:hAnsi="黑体" w:eastAsia="仿宋_GB2312"/>
          <w:sz w:val="32"/>
          <w:szCs w:val="32"/>
        </w:rPr>
        <w:t>年预算数为8.41</w:t>
      </w:r>
      <w:r>
        <w:rPr>
          <w:rFonts w:ascii="仿宋_GB2312" w:hAnsi="黑体" w:eastAsia="仿宋_GB2312" w:cs="仿宋_GB2312"/>
          <w:sz w:val="32"/>
          <w:szCs w:val="32"/>
        </w:rPr>
        <w:t>万元，</w:t>
      </w:r>
      <w:r>
        <w:rPr>
          <w:rFonts w:hint="eastAsia" w:ascii="仿宋_GB2312" w:hAnsi="黑体" w:eastAsia="仿宋_GB2312"/>
          <w:sz w:val="32"/>
          <w:szCs w:val="32"/>
        </w:rPr>
        <w:t>与上年预算数基本</w:t>
      </w:r>
      <w:r>
        <w:rPr>
          <w:rFonts w:hint="eastAsia" w:ascii="仿宋_GB2312" w:hAnsi="黑体" w:eastAsia="仿宋_GB2312" w:cs="仿宋_GB2312"/>
          <w:sz w:val="32"/>
          <w:szCs w:val="32"/>
        </w:rPr>
        <w:t>持平</w:t>
      </w:r>
      <w:r>
        <w:rPr>
          <w:rFonts w:ascii="仿宋_GB2312" w:hAnsi="黑体" w:eastAsia="仿宋_GB2312"/>
          <w:sz w:val="32"/>
          <w:szCs w:val="32"/>
        </w:rPr>
        <w:t>。</w:t>
      </w:r>
    </w:p>
    <w:p>
      <w:pPr>
        <w:spacing w:line="576" w:lineRule="exact"/>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仿宋_GB2312"/>
          <w:sz w:val="32"/>
          <w:szCs w:val="32"/>
        </w:rPr>
        <w:t>海南省消费者委员会办公室2023年</w:t>
      </w:r>
      <w:r>
        <w:rPr>
          <w:rFonts w:hint="eastAsia" w:ascii="黑体" w:hAnsi="黑体" w:eastAsia="黑体"/>
          <w:sz w:val="32"/>
          <w:szCs w:val="32"/>
        </w:rPr>
        <w:t>一般公共预算基本支出情况说明</w:t>
      </w:r>
    </w:p>
    <w:p>
      <w:pPr>
        <w:spacing w:line="576" w:lineRule="exact"/>
        <w:ind w:firstLine="640" w:firstLineChars="200"/>
        <w:rPr>
          <w:rFonts w:ascii="仿宋_GB2312" w:hAnsi="黑体" w:eastAsia="仿宋_GB2312"/>
          <w:sz w:val="32"/>
          <w:szCs w:val="32"/>
        </w:rPr>
      </w:pPr>
      <w:r>
        <w:rPr>
          <w:rFonts w:hint="eastAsia" w:ascii="仿宋_GB2312" w:hAnsi="黑体" w:eastAsia="仿宋_GB2312"/>
          <w:sz w:val="32"/>
          <w:szCs w:val="32"/>
        </w:rPr>
        <w:t>海南省消费者委员会办公室2023年一般公共预算基本支出为</w:t>
      </w:r>
      <w:r>
        <w:rPr>
          <w:rFonts w:hint="eastAsia" w:ascii="仿宋_GB2312" w:hAnsi="黑体" w:eastAsia="仿宋_GB2312" w:cs="仿宋_GB2312"/>
          <w:sz w:val="32"/>
          <w:szCs w:val="32"/>
        </w:rPr>
        <w:t>142.47</w:t>
      </w:r>
      <w:r>
        <w:rPr>
          <w:rFonts w:hint="eastAsia" w:ascii="仿宋_GB2312" w:hAnsi="黑体" w:eastAsia="仿宋_GB2312"/>
          <w:sz w:val="32"/>
          <w:szCs w:val="32"/>
        </w:rPr>
        <w:t>万元，其中：</w:t>
      </w:r>
    </w:p>
    <w:p>
      <w:pPr>
        <w:spacing w:line="576" w:lineRule="exact"/>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116.82</w:t>
      </w:r>
      <w:r>
        <w:rPr>
          <w:rFonts w:hint="eastAsia" w:ascii="仿宋_GB2312" w:hAnsi="黑体" w:eastAsia="仿宋_GB2312"/>
          <w:sz w:val="32"/>
          <w:szCs w:val="32"/>
        </w:rPr>
        <w:t>万元，主要包括：基本工资、津贴补贴、奖金、机关事业单位</w:t>
      </w:r>
      <w:r>
        <w:rPr>
          <w:rFonts w:ascii="仿宋_GB2312" w:hAnsi="黑体" w:eastAsia="仿宋_GB2312"/>
          <w:sz w:val="32"/>
          <w:szCs w:val="32"/>
        </w:rPr>
        <w:t>基本</w:t>
      </w:r>
      <w:r>
        <w:rPr>
          <w:rFonts w:hint="eastAsia" w:ascii="仿宋_GB2312" w:hAnsi="黑体" w:eastAsia="仿宋_GB2312"/>
          <w:sz w:val="32"/>
          <w:szCs w:val="32"/>
        </w:rPr>
        <w:t>养老保险缴费、职业年金缴费、职工基本医疗保险缴费、其他社会保障缴费、住房公积金、医疗费、其他工资福利支出。</w:t>
      </w:r>
    </w:p>
    <w:p>
      <w:pPr>
        <w:spacing w:line="576" w:lineRule="exact"/>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25.65</w:t>
      </w:r>
      <w:r>
        <w:rPr>
          <w:rFonts w:hint="eastAsia" w:ascii="仿宋_GB2312" w:hAnsi="黑体" w:eastAsia="仿宋_GB2312"/>
          <w:sz w:val="32"/>
          <w:szCs w:val="32"/>
        </w:rPr>
        <w:t>万元，主要包括：办公费、印刷费、手续费、水费、电费、</w:t>
      </w:r>
      <w:r>
        <w:rPr>
          <w:rFonts w:hint="eastAsia" w:ascii="仿宋_GB2312" w:hAnsi="微软雅黑" w:eastAsia="仿宋_GB2312" w:cs="微软雅黑"/>
          <w:sz w:val="32"/>
          <w:szCs w:val="32"/>
        </w:rPr>
        <w:t>邮电费、物业管理费、差旅费、维修（护）费、会议费、培训费、公务接待费、劳</w:t>
      </w:r>
      <w:r>
        <w:rPr>
          <w:rFonts w:ascii="仿宋_GB2312" w:hAnsi="微软雅黑" w:eastAsia="仿宋_GB2312" w:cs="微软雅黑"/>
          <w:sz w:val="32"/>
          <w:szCs w:val="32"/>
        </w:rPr>
        <w:t>务费、</w:t>
      </w:r>
      <w:r>
        <w:rPr>
          <w:rFonts w:hint="eastAsia" w:ascii="仿宋_GB2312" w:hAnsi="微软雅黑" w:eastAsia="仿宋_GB2312" w:cs="微软雅黑"/>
          <w:sz w:val="32"/>
          <w:szCs w:val="32"/>
        </w:rPr>
        <w:t>委托</w:t>
      </w:r>
      <w:r>
        <w:rPr>
          <w:rFonts w:ascii="仿宋_GB2312" w:hAnsi="微软雅黑" w:eastAsia="仿宋_GB2312" w:cs="微软雅黑"/>
          <w:sz w:val="32"/>
          <w:szCs w:val="32"/>
        </w:rPr>
        <w:t>业务费、</w:t>
      </w:r>
      <w:r>
        <w:rPr>
          <w:rFonts w:hint="eastAsia" w:ascii="仿宋_GB2312" w:hAnsi="微软雅黑" w:eastAsia="仿宋_GB2312" w:cs="微软雅黑"/>
          <w:sz w:val="32"/>
          <w:szCs w:val="32"/>
        </w:rPr>
        <w:t>工会经费、福利费、公务用车运行维护费、其他交通费用、其他商品和服务支出、</w:t>
      </w:r>
      <w:r>
        <w:rPr>
          <w:rFonts w:ascii="仿宋_GB2312" w:hAnsi="微软雅黑" w:eastAsia="仿宋_GB2312" w:cs="微软雅黑"/>
          <w:sz w:val="32"/>
          <w:szCs w:val="32"/>
        </w:rPr>
        <w:t>对个人</w:t>
      </w:r>
      <w:r>
        <w:rPr>
          <w:rFonts w:hint="eastAsia" w:ascii="仿宋_GB2312" w:hAnsi="微软雅黑" w:eastAsia="仿宋_GB2312" w:cs="微软雅黑"/>
          <w:sz w:val="32"/>
          <w:szCs w:val="32"/>
        </w:rPr>
        <w:t>和</w:t>
      </w:r>
      <w:r>
        <w:rPr>
          <w:rFonts w:ascii="仿宋_GB2312" w:hAnsi="微软雅黑" w:eastAsia="仿宋_GB2312" w:cs="微软雅黑"/>
          <w:sz w:val="32"/>
          <w:szCs w:val="32"/>
        </w:rPr>
        <w:t>家庭的补助、</w:t>
      </w:r>
      <w:r>
        <w:rPr>
          <w:rFonts w:hint="eastAsia" w:ascii="仿宋_GB2312" w:hAnsi="微软雅黑" w:eastAsia="仿宋_GB2312" w:cs="微软雅黑"/>
          <w:sz w:val="32"/>
          <w:szCs w:val="32"/>
        </w:rPr>
        <w:t>办公设备购置</w:t>
      </w:r>
      <w:r>
        <w:rPr>
          <w:rFonts w:hint="eastAsia" w:ascii="仿宋_GB2312" w:hAnsi="黑体" w:eastAsia="仿宋_GB2312"/>
          <w:sz w:val="32"/>
          <w:szCs w:val="32"/>
        </w:rPr>
        <w:t>。</w:t>
      </w:r>
    </w:p>
    <w:p>
      <w:pPr>
        <w:spacing w:line="576"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仿宋_GB2312"/>
          <w:sz w:val="32"/>
          <w:szCs w:val="32"/>
        </w:rPr>
        <w:t>海南省消费者委员会办公室2023年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spacing w:line="576" w:lineRule="exact"/>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（一）海南省消费者委员会办公室2023年一般公共预算“三公”经费预算数为</w:t>
      </w:r>
      <w:r>
        <w:rPr>
          <w:rFonts w:hint="eastAsia" w:ascii="仿宋_GB2312" w:hAnsi="黑体" w:eastAsia="仿宋_GB2312" w:cs="仿宋_GB2312"/>
          <w:sz w:val="32"/>
          <w:szCs w:val="32"/>
        </w:rPr>
        <w:t>3.60</w:t>
      </w:r>
      <w:r>
        <w:rPr>
          <w:rFonts w:hint="eastAsia" w:ascii="仿宋_GB2312" w:hAnsi="黑体" w:eastAsia="仿宋_GB2312"/>
          <w:sz w:val="32"/>
          <w:szCs w:val="32"/>
        </w:rPr>
        <w:t>万元，其中：</w:t>
      </w:r>
    </w:p>
    <w:p>
      <w:pPr>
        <w:spacing w:line="576" w:lineRule="exact"/>
        <w:ind w:firstLine="630"/>
        <w:rPr>
          <w:rFonts w:ascii="Times New Roman" w:hAnsi="Times New Roman" w:eastAsia="仿宋_GB2312" w:cs="Times New Roman"/>
          <w:color w:val="000000" w:themeColor="text1"/>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万元，与上年预算持平，本年无出国计划</w:t>
      </w:r>
      <w:r>
        <w:rPr>
          <w:rFonts w:hint="eastAsia" w:ascii="仿宋_GB2312" w:hAnsi="Times New Roman" w:eastAsia="仿宋_GB2312" w:cs="Times New Roman"/>
          <w:color w:val="000000" w:themeColor="text1"/>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3.50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3.50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与上</w:t>
      </w:r>
      <w:r>
        <w:rPr>
          <w:rFonts w:ascii="Times New Roman" w:hAnsi="Times New Roman" w:eastAsia="仿宋_GB2312" w:cs="Times New Roman"/>
          <w:sz w:val="32"/>
          <w:shd w:val="clear" w:color="auto" w:fill="FFFFFF"/>
        </w:rPr>
        <w:t>年预算数</w:t>
      </w:r>
      <w:r>
        <w:rPr>
          <w:rFonts w:hint="eastAsia" w:ascii="Times New Roman" w:hAnsi="Times New Roman" w:eastAsia="仿宋_GB2312" w:cs="Times New Roman"/>
          <w:sz w:val="32"/>
          <w:shd w:val="clear" w:color="auto" w:fill="FFFFFF"/>
        </w:rPr>
        <w:t>持平</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公</w:t>
      </w:r>
      <w:r>
        <w:rPr>
          <w:rFonts w:ascii="Times New Roman" w:hAnsi="Times New Roman" w:eastAsia="仿宋_GB2312" w:cs="Times New Roman"/>
          <w:sz w:val="32"/>
          <w:shd w:val="clear" w:color="auto" w:fill="FFFFFF"/>
        </w:rPr>
        <w:t>务车保有量</w:t>
      </w:r>
      <w:r>
        <w:rPr>
          <w:rFonts w:hint="eastAsia" w:ascii="仿宋_GB2312" w:hAnsi="Times New Roman" w:eastAsia="仿宋_GB2312" w:cs="Times New Roman"/>
          <w:sz w:val="32"/>
          <w:shd w:val="clear" w:color="auto" w:fill="FFFFFF"/>
        </w:rPr>
        <w:t>1辆，计划购置0辆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0.1</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rPr>
        <w:t>，与上</w:t>
      </w:r>
      <w:r>
        <w:rPr>
          <w:rFonts w:ascii="Times New Roman" w:hAnsi="Times New Roman" w:eastAsia="仿宋_GB2312" w:cs="Times New Roman"/>
          <w:sz w:val="32"/>
          <w:shd w:val="clear" w:color="auto" w:fill="FFFFFF"/>
        </w:rPr>
        <w:t>年预算数</w:t>
      </w:r>
      <w:r>
        <w:rPr>
          <w:rFonts w:hint="eastAsia" w:ascii="Times New Roman" w:hAnsi="Times New Roman" w:eastAsia="仿宋_GB2312" w:cs="Times New Roman"/>
          <w:sz w:val="32"/>
          <w:shd w:val="clear" w:color="auto" w:fill="FFFFFF"/>
        </w:rPr>
        <w:t>持平</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color w:val="000000" w:themeColor="text1"/>
          <w:sz w:val="32"/>
          <w:shd w:val="clear" w:color="auto" w:fill="FFFFFF"/>
        </w:rPr>
        <w:t>计划接待</w:t>
      </w:r>
      <w:r>
        <w:rPr>
          <w:rFonts w:hint="eastAsia" w:ascii="仿宋_GB2312" w:hAnsi="黑体" w:eastAsia="仿宋_GB2312" w:cs="仿宋_GB2312"/>
          <w:color w:val="000000" w:themeColor="text1"/>
          <w:sz w:val="32"/>
          <w:szCs w:val="32"/>
        </w:rPr>
        <w:t>2</w:t>
      </w:r>
      <w:r>
        <w:rPr>
          <w:rFonts w:hint="eastAsia" w:ascii="Times New Roman" w:hAnsi="Times New Roman" w:eastAsia="仿宋_GB2312" w:cs="Times New Roman"/>
          <w:color w:val="000000" w:themeColor="text1"/>
          <w:sz w:val="32"/>
          <w:shd w:val="clear" w:color="auto" w:fill="FFFFFF"/>
        </w:rPr>
        <w:t>批</w:t>
      </w:r>
      <w:r>
        <w:rPr>
          <w:rFonts w:hint="eastAsia" w:ascii="仿宋_GB2312" w:hAnsi="黑体" w:eastAsia="仿宋_GB2312" w:cs="仿宋_GB2312"/>
          <w:color w:val="000000" w:themeColor="text1"/>
          <w:sz w:val="32"/>
          <w:szCs w:val="32"/>
        </w:rPr>
        <w:t>6</w:t>
      </w:r>
      <w:r>
        <w:rPr>
          <w:rFonts w:ascii="Times New Roman" w:hAnsi="Times New Roman" w:eastAsia="仿宋_GB2312" w:cs="Times New Roman"/>
          <w:color w:val="000000" w:themeColor="text1"/>
          <w:sz w:val="32"/>
          <w:shd w:val="clear" w:color="auto" w:fill="FFFFFF"/>
        </w:rPr>
        <w:t>人</w:t>
      </w:r>
      <w:r>
        <w:rPr>
          <w:rFonts w:hint="eastAsia" w:ascii="Times New Roman" w:hAnsi="Times New Roman" w:eastAsia="仿宋_GB2312" w:cs="Times New Roman"/>
          <w:color w:val="000000" w:themeColor="text1"/>
          <w:sz w:val="32"/>
          <w:shd w:val="clear" w:color="auto" w:fill="FFFFFF"/>
        </w:rPr>
        <w:t>次。</w:t>
      </w:r>
    </w:p>
    <w:p>
      <w:pPr>
        <w:spacing w:line="576" w:lineRule="exact"/>
        <w:ind w:firstLine="63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（二）海南省消费者委员会办公室2023年政府性基金预算“三公”经费预算数为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spacing w:line="576"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仿宋_GB2312"/>
          <w:sz w:val="32"/>
          <w:szCs w:val="32"/>
        </w:rPr>
        <w:t>海南省消费者委员会办公室2023年</w:t>
      </w:r>
      <w:r>
        <w:rPr>
          <w:rFonts w:hint="eastAsia" w:ascii="黑体" w:hAnsi="黑体" w:eastAsia="黑体" w:cs="Times New Roman"/>
          <w:sz w:val="32"/>
          <w:shd w:val="clear" w:color="auto" w:fill="FFFFFF"/>
        </w:rPr>
        <w:t>政府性基金预算当年拨款情况说明</w:t>
      </w:r>
    </w:p>
    <w:p>
      <w:pPr>
        <w:spacing w:line="576" w:lineRule="exact"/>
        <w:ind w:firstLine="640" w:firstLineChars="200"/>
        <w:rPr>
          <w:rFonts w:ascii="仿宋_GB2312" w:hAnsi="黑体" w:eastAsia="仿宋_GB2312"/>
          <w:sz w:val="32"/>
          <w:szCs w:val="32"/>
        </w:rPr>
      </w:pPr>
      <w:r>
        <w:rPr>
          <w:rFonts w:hint="eastAsia" w:ascii="仿宋_GB2312" w:hAnsi="楷体" w:eastAsia="仿宋_GB2312"/>
          <w:sz w:val="32"/>
          <w:szCs w:val="32"/>
        </w:rPr>
        <w:t>海南省消费者委员会办公室</w:t>
      </w:r>
      <w:r>
        <w:rPr>
          <w:rFonts w:ascii="仿宋_GB2312" w:hAnsi="楷体" w:eastAsia="仿宋_GB2312"/>
          <w:sz w:val="32"/>
          <w:szCs w:val="32"/>
        </w:rPr>
        <w:t>202</w:t>
      </w:r>
      <w:r>
        <w:rPr>
          <w:rFonts w:hint="eastAsia" w:ascii="仿宋_GB2312" w:hAnsi="楷体" w:eastAsia="仿宋_GB2312"/>
          <w:sz w:val="32"/>
          <w:szCs w:val="32"/>
        </w:rPr>
        <w:t>3年无政府性基金预算。</w:t>
      </w:r>
    </w:p>
    <w:p>
      <w:pPr>
        <w:spacing w:line="576"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仿宋_GB2312"/>
          <w:sz w:val="32"/>
          <w:szCs w:val="32"/>
        </w:rPr>
        <w:t>海南省消费者委员会办公室2023年</w:t>
      </w:r>
      <w:r>
        <w:rPr>
          <w:rFonts w:hint="eastAsia" w:ascii="黑体" w:hAnsi="黑体" w:eastAsia="黑体" w:cs="Times New Roman"/>
          <w:sz w:val="32"/>
          <w:shd w:val="clear" w:color="auto" w:fill="FFFFFF"/>
        </w:rPr>
        <w:t>收支预算情况的总体说明</w:t>
      </w:r>
    </w:p>
    <w:p>
      <w:pPr>
        <w:spacing w:line="576"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按照综合预算原则，海南省消费者委员会办公室所有收入和支出均纳入本级预算管理。收入包括</w:t>
      </w:r>
      <w:r>
        <w:rPr>
          <w:rFonts w:hint="eastAsia" w:ascii="仿宋_GB2312" w:hAnsi="黑体" w:eastAsia="仿宋_GB2312" w:cs="仿宋_GB2312"/>
          <w:b/>
          <w:sz w:val="32"/>
          <w:szCs w:val="32"/>
        </w:rPr>
        <w:t>：</w:t>
      </w:r>
      <w:r>
        <w:rPr>
          <w:rFonts w:hint="eastAsia" w:ascii="仿宋_GB2312" w:hAnsi="黑体" w:eastAsia="仿宋_GB2312" w:cs="仿宋_GB2312"/>
          <w:sz w:val="32"/>
          <w:szCs w:val="32"/>
        </w:rPr>
        <w:t>一般公共预算拨</w:t>
      </w:r>
      <w:r>
        <w:rPr>
          <w:rFonts w:ascii="仿宋_GB2312" w:hAnsi="黑体" w:eastAsia="仿宋_GB2312" w:cs="仿宋_GB2312"/>
          <w:sz w:val="32"/>
          <w:szCs w:val="32"/>
        </w:rPr>
        <w:t>款</w:t>
      </w:r>
      <w:r>
        <w:rPr>
          <w:rFonts w:hint="eastAsia" w:ascii="仿宋_GB2312" w:hAnsi="黑体" w:eastAsia="仿宋_GB2312" w:cs="仿宋_GB2312"/>
          <w:sz w:val="32"/>
          <w:szCs w:val="32"/>
        </w:rPr>
        <w:t>收入155.93万元</w:t>
      </w:r>
      <w:r>
        <w:rPr>
          <w:rFonts w:hint="eastAsia" w:ascii="仿宋_GB2312" w:hAnsi="黑体" w:eastAsia="仿宋_GB2312"/>
          <w:sz w:val="32"/>
          <w:szCs w:val="32"/>
        </w:rPr>
        <w:t>；支出包括：一般公共服务支出114.27万元、社会保障和就业支出29.24万元、卫生健康支出4.02万元、住房保障支出8.41万元。</w:t>
      </w:r>
      <w:r>
        <w:rPr>
          <w:rFonts w:hint="eastAsia" w:ascii="仿宋_GB2312" w:hAnsi="黑体" w:eastAsia="仿宋_GB2312" w:cs="仿宋_GB2312"/>
          <w:sz w:val="32"/>
          <w:szCs w:val="32"/>
        </w:rPr>
        <w:t>海南省消费者委员会办公室本级2023年</w:t>
      </w:r>
      <w:r>
        <w:rPr>
          <w:rFonts w:hint="eastAsia" w:ascii="仿宋_GB2312" w:hAnsi="黑体" w:eastAsia="仿宋_GB2312"/>
          <w:sz w:val="32"/>
          <w:szCs w:val="32"/>
        </w:rPr>
        <w:t>收支总预算</w:t>
      </w:r>
      <w:r>
        <w:rPr>
          <w:rFonts w:ascii="仿宋_GB2312" w:hAnsi="黑体" w:eastAsia="仿宋_GB2312" w:cs="仿宋_GB2312"/>
          <w:sz w:val="32"/>
          <w:szCs w:val="32"/>
        </w:rPr>
        <w:t>1</w:t>
      </w:r>
      <w:r>
        <w:rPr>
          <w:rFonts w:hint="eastAsia" w:ascii="仿宋_GB2312" w:hAnsi="黑体" w:eastAsia="仿宋_GB2312" w:cs="仿宋_GB2312"/>
          <w:sz w:val="32"/>
          <w:szCs w:val="32"/>
        </w:rPr>
        <w:t>55.93</w:t>
      </w:r>
      <w:r>
        <w:rPr>
          <w:rFonts w:hint="eastAsia" w:ascii="仿宋_GB2312" w:hAnsi="黑体" w:eastAsia="仿宋_GB2312"/>
          <w:sz w:val="32"/>
          <w:szCs w:val="32"/>
        </w:rPr>
        <w:t>万元。</w:t>
      </w:r>
    </w:p>
    <w:p>
      <w:pPr>
        <w:spacing w:line="576"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仿宋_GB2312"/>
          <w:sz w:val="32"/>
          <w:szCs w:val="32"/>
        </w:rPr>
        <w:t>海南省消费者委员会办公室2023年</w:t>
      </w:r>
      <w:r>
        <w:rPr>
          <w:rFonts w:hint="eastAsia" w:ascii="黑体" w:hAnsi="黑体" w:eastAsia="黑体" w:cs="Times New Roman"/>
          <w:sz w:val="32"/>
          <w:shd w:val="clear" w:color="auto" w:fill="FFFFFF"/>
        </w:rPr>
        <w:t>收入预算情况说明</w:t>
      </w:r>
    </w:p>
    <w:p>
      <w:pPr>
        <w:spacing w:line="576" w:lineRule="exact"/>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海南省消费者委员会办公室</w:t>
      </w:r>
      <w:r>
        <w:rPr>
          <w:rFonts w:ascii="仿宋_GB2312" w:hAnsi="黑体" w:eastAsia="仿宋_GB2312" w:cs="仿宋_GB2312"/>
          <w:sz w:val="32"/>
          <w:szCs w:val="32"/>
        </w:rPr>
        <w:t>202</w:t>
      </w:r>
      <w:r>
        <w:rPr>
          <w:rFonts w:hint="eastAsia" w:ascii="仿宋_GB2312" w:hAnsi="黑体" w:eastAsia="仿宋_GB2312" w:cs="仿宋_GB2312"/>
          <w:sz w:val="32"/>
          <w:szCs w:val="32"/>
        </w:rPr>
        <w:t>3</w:t>
      </w:r>
      <w:r>
        <w:rPr>
          <w:rFonts w:hint="eastAsia" w:ascii="仿宋_GB2312" w:hAnsi="黑体" w:eastAsia="仿宋_GB2312"/>
          <w:sz w:val="32"/>
          <w:szCs w:val="32"/>
        </w:rPr>
        <w:t>年收入预算</w:t>
      </w:r>
      <w:r>
        <w:rPr>
          <w:rFonts w:ascii="仿宋_GB2312" w:hAnsi="黑体" w:eastAsia="仿宋_GB2312" w:cs="仿宋_GB2312"/>
          <w:sz w:val="32"/>
          <w:szCs w:val="32"/>
        </w:rPr>
        <w:t>1</w:t>
      </w:r>
      <w:r>
        <w:rPr>
          <w:rFonts w:hint="eastAsia" w:ascii="仿宋_GB2312" w:hAnsi="黑体" w:eastAsia="仿宋_GB2312" w:cs="仿宋_GB2312"/>
          <w:sz w:val="32"/>
          <w:szCs w:val="32"/>
        </w:rPr>
        <w:t>55.93</w:t>
      </w:r>
      <w:r>
        <w:rPr>
          <w:rFonts w:hint="eastAsia" w:ascii="仿宋_GB2312" w:hAnsi="黑体" w:eastAsia="仿宋_GB2312"/>
          <w:sz w:val="32"/>
          <w:szCs w:val="32"/>
        </w:rPr>
        <w:t>万元，其中：上</w:t>
      </w:r>
      <w:r>
        <w:rPr>
          <w:rFonts w:ascii="仿宋_GB2312" w:hAnsi="黑体" w:eastAsia="仿宋_GB2312"/>
          <w:sz w:val="32"/>
          <w:szCs w:val="32"/>
        </w:rPr>
        <w:t>年结转</w:t>
      </w:r>
      <w:r>
        <w:rPr>
          <w:rFonts w:hint="eastAsia" w:ascii="仿宋_GB2312" w:hAnsi="黑体" w:eastAsia="仿宋_GB2312"/>
          <w:sz w:val="32"/>
          <w:szCs w:val="32"/>
        </w:rPr>
        <w:t>0万</w:t>
      </w:r>
      <w:r>
        <w:rPr>
          <w:rFonts w:ascii="仿宋_GB2312" w:hAnsi="黑体" w:eastAsia="仿宋_GB2312"/>
          <w:sz w:val="32"/>
          <w:szCs w:val="32"/>
        </w:rPr>
        <w:t>元，一般公共</w:t>
      </w:r>
      <w:r>
        <w:rPr>
          <w:rFonts w:hint="eastAsia" w:ascii="仿宋_GB2312" w:hAnsi="黑体" w:eastAsia="仿宋_GB2312"/>
          <w:sz w:val="32"/>
          <w:szCs w:val="32"/>
        </w:rPr>
        <w:t>预算拨款收入155.93万元，占</w:t>
      </w:r>
      <w:r>
        <w:rPr>
          <w:rFonts w:hint="eastAsia" w:ascii="仿宋_GB2312" w:hAnsi="黑体" w:eastAsia="仿宋_GB2312" w:cs="仿宋_GB2312"/>
          <w:sz w:val="32"/>
          <w:szCs w:val="32"/>
        </w:rPr>
        <w:t>100</w:t>
      </w:r>
      <w:r>
        <w:rPr>
          <w:rFonts w:ascii="仿宋_GB2312" w:hAnsi="黑体" w:eastAsia="仿宋_GB2312"/>
          <w:sz w:val="32"/>
          <w:szCs w:val="32"/>
        </w:rPr>
        <w:t>%</w:t>
      </w:r>
      <w:r>
        <w:rPr>
          <w:rFonts w:hint="eastAsia" w:ascii="仿宋_GB2312" w:hAnsi="黑体" w:eastAsia="仿宋_GB2312"/>
          <w:sz w:val="32"/>
          <w:szCs w:val="32"/>
        </w:rPr>
        <w:t>；</w:t>
      </w:r>
      <w:r>
        <w:rPr>
          <w:rFonts w:hint="eastAsia" w:ascii="仿宋_GB2312" w:hAnsi="黑体" w:eastAsia="仿宋_GB2312"/>
          <w:kern w:val="0"/>
          <w:sz w:val="32"/>
          <w:szCs w:val="32"/>
        </w:rPr>
        <w:t>比上年预算数</w:t>
      </w:r>
      <w:r>
        <w:rPr>
          <w:rFonts w:hint="eastAsia" w:ascii="仿宋_GB2312" w:hAnsi="黑体" w:eastAsia="仿宋_GB2312" w:cs="仿宋_GB2312"/>
          <w:kern w:val="0"/>
          <w:sz w:val="32"/>
          <w:szCs w:val="32"/>
        </w:rPr>
        <w:t>增加4.95</w:t>
      </w:r>
      <w:r>
        <w:rPr>
          <w:rFonts w:hint="eastAsia" w:ascii="仿宋_GB2312" w:hAnsi="黑体" w:eastAsia="仿宋_GB2312"/>
          <w:kern w:val="0"/>
          <w:sz w:val="32"/>
          <w:szCs w:val="32"/>
        </w:rPr>
        <w:t>万元，</w:t>
      </w:r>
      <w:r>
        <w:rPr>
          <w:rFonts w:hint="eastAsia" w:ascii="仿宋_GB2312" w:hAnsi="黑体" w:eastAsia="仿宋_GB2312"/>
          <w:color w:val="000000" w:themeColor="text1"/>
          <w:kern w:val="0"/>
          <w:sz w:val="32"/>
          <w:szCs w:val="32"/>
        </w:rPr>
        <w:t>主要是基本支出预算</w:t>
      </w:r>
      <w:r>
        <w:rPr>
          <w:rFonts w:ascii="仿宋_GB2312" w:hAnsi="黑体" w:eastAsia="仿宋_GB2312"/>
          <w:color w:val="000000" w:themeColor="text1"/>
          <w:kern w:val="0"/>
          <w:sz w:val="32"/>
          <w:szCs w:val="32"/>
        </w:rPr>
        <w:t>增加</w:t>
      </w:r>
      <w:r>
        <w:rPr>
          <w:rFonts w:hint="eastAsia" w:ascii="仿宋_GB2312" w:hAnsi="黑体" w:eastAsia="仿宋_GB2312"/>
          <w:color w:val="000000" w:themeColor="text1"/>
          <w:kern w:val="0"/>
          <w:sz w:val="32"/>
          <w:szCs w:val="32"/>
        </w:rPr>
        <w:t>。</w:t>
      </w:r>
    </w:p>
    <w:p>
      <w:pPr>
        <w:spacing w:line="576"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仿宋_GB2312"/>
          <w:sz w:val="32"/>
          <w:szCs w:val="32"/>
        </w:rPr>
        <w:t>海南省消费者委员会办公室2023年</w:t>
      </w:r>
      <w:r>
        <w:rPr>
          <w:rFonts w:hint="eastAsia" w:ascii="黑体" w:hAnsi="黑体" w:eastAsia="黑体" w:cs="Times New Roman"/>
          <w:sz w:val="32"/>
          <w:shd w:val="clear" w:color="auto" w:fill="FFFFFF"/>
        </w:rPr>
        <w:t>支出预算情况说明</w:t>
      </w:r>
    </w:p>
    <w:p>
      <w:pPr>
        <w:spacing w:line="576" w:lineRule="exact"/>
        <w:ind w:firstLine="640" w:firstLineChars="200"/>
        <w:jc w:val="left"/>
        <w:rPr>
          <w:rFonts w:ascii="仿宋_GB2312" w:hAnsi="黑体" w:eastAsia="仿宋_GB2312" w:cs="仿宋_GB2312"/>
          <w:color w:val="FF0000"/>
          <w:sz w:val="32"/>
          <w:szCs w:val="32"/>
        </w:rPr>
      </w:pPr>
      <w:r>
        <w:rPr>
          <w:rFonts w:hint="eastAsia" w:ascii="仿宋_GB2312" w:hAnsi="黑体" w:eastAsia="仿宋_GB2312" w:cs="仿宋_GB2312"/>
          <w:sz w:val="32"/>
          <w:szCs w:val="32"/>
        </w:rPr>
        <w:t>海南省消费者委员会办公室2023年</w:t>
      </w:r>
      <w:r>
        <w:rPr>
          <w:rFonts w:hint="eastAsia" w:ascii="仿宋_GB2312" w:hAnsi="黑体" w:eastAsia="仿宋_GB2312"/>
          <w:sz w:val="32"/>
          <w:szCs w:val="32"/>
        </w:rPr>
        <w:t>支出预算</w:t>
      </w:r>
      <w:r>
        <w:rPr>
          <w:rFonts w:hint="eastAsia" w:ascii="仿宋_GB2312" w:hAnsi="黑体" w:eastAsia="仿宋_GB2312" w:cs="仿宋_GB2312"/>
          <w:sz w:val="32"/>
          <w:szCs w:val="32"/>
        </w:rPr>
        <w:t>155.93</w:t>
      </w:r>
      <w:r>
        <w:rPr>
          <w:rFonts w:hint="eastAsia" w:ascii="仿宋_GB2312" w:hAnsi="黑体" w:eastAsia="仿宋_GB2312"/>
          <w:sz w:val="32"/>
          <w:szCs w:val="32"/>
        </w:rPr>
        <w:t>万元，其中：</w:t>
      </w:r>
      <w:r>
        <w:rPr>
          <w:rFonts w:ascii="仿宋_GB2312" w:hAnsi="黑体" w:eastAsia="仿宋_GB2312"/>
          <w:sz w:val="32"/>
          <w:szCs w:val="32"/>
        </w:rPr>
        <w:t>基本支出</w:t>
      </w:r>
      <w:r>
        <w:rPr>
          <w:rFonts w:hint="eastAsia" w:ascii="仿宋_GB2312" w:hAnsi="黑体" w:eastAsia="仿宋_GB2312"/>
          <w:sz w:val="32"/>
          <w:szCs w:val="32"/>
        </w:rPr>
        <w:t>142.47</w:t>
      </w:r>
      <w:r>
        <w:rPr>
          <w:rFonts w:ascii="仿宋_GB2312" w:hAnsi="黑体" w:eastAsia="仿宋_GB2312"/>
          <w:sz w:val="32"/>
          <w:szCs w:val="32"/>
        </w:rPr>
        <w:t>万元，</w:t>
      </w:r>
      <w:r>
        <w:rPr>
          <w:rFonts w:hint="eastAsia" w:ascii="仿宋_GB2312" w:hAnsi="黑体" w:eastAsia="仿宋_GB2312"/>
          <w:sz w:val="32"/>
          <w:szCs w:val="32"/>
        </w:rPr>
        <w:t>占</w:t>
      </w:r>
      <w:r>
        <w:rPr>
          <w:rFonts w:hint="eastAsia" w:ascii="仿宋_GB2312" w:hAnsi="黑体" w:eastAsia="仿宋_GB2312" w:cs="仿宋_GB2312"/>
          <w:sz w:val="32"/>
          <w:szCs w:val="32"/>
        </w:rPr>
        <w:t>91.37</w:t>
      </w:r>
      <w:r>
        <w:rPr>
          <w:rFonts w:ascii="仿宋_GB2312" w:hAnsi="黑体" w:eastAsia="仿宋_GB2312"/>
          <w:sz w:val="32"/>
          <w:szCs w:val="32"/>
        </w:rPr>
        <w:t>%</w:t>
      </w:r>
      <w:r>
        <w:rPr>
          <w:rFonts w:hint="eastAsia" w:ascii="仿宋_GB2312" w:hAnsi="黑体" w:eastAsia="仿宋_GB2312"/>
          <w:sz w:val="32"/>
          <w:szCs w:val="32"/>
        </w:rPr>
        <w:t>；</w:t>
      </w:r>
      <w:r>
        <w:rPr>
          <w:rFonts w:ascii="仿宋_GB2312" w:hAnsi="黑体" w:eastAsia="仿宋_GB2312"/>
          <w:sz w:val="32"/>
          <w:szCs w:val="32"/>
        </w:rPr>
        <w:t>项目支出</w:t>
      </w:r>
      <w:r>
        <w:rPr>
          <w:rFonts w:hint="eastAsia" w:ascii="仿宋_GB2312" w:hAnsi="黑体" w:eastAsia="仿宋_GB2312"/>
          <w:sz w:val="32"/>
          <w:szCs w:val="32"/>
        </w:rPr>
        <w:t>13.46</w:t>
      </w:r>
      <w:r>
        <w:rPr>
          <w:rFonts w:ascii="仿宋_GB2312" w:hAnsi="黑体" w:eastAsia="仿宋_GB2312"/>
          <w:sz w:val="32"/>
          <w:szCs w:val="32"/>
        </w:rPr>
        <w:t>万元，占</w:t>
      </w:r>
      <w:r>
        <w:rPr>
          <w:rFonts w:hint="eastAsia" w:ascii="仿宋_GB2312" w:hAnsi="黑体" w:eastAsia="仿宋_GB2312"/>
          <w:sz w:val="32"/>
          <w:szCs w:val="32"/>
        </w:rPr>
        <w:t>8.63</w:t>
      </w:r>
      <w:r>
        <w:rPr>
          <w:rFonts w:ascii="仿宋_GB2312" w:hAnsi="黑体" w:eastAsia="仿宋_GB2312"/>
          <w:sz w:val="32"/>
          <w:szCs w:val="32"/>
        </w:rPr>
        <w:t>%</w:t>
      </w:r>
      <w:r>
        <w:rPr>
          <w:rFonts w:hint="eastAsia" w:ascii="仿宋_GB2312" w:hAnsi="黑体" w:eastAsia="仿宋_GB2312"/>
          <w:sz w:val="32"/>
          <w:szCs w:val="32"/>
        </w:rPr>
        <w:t>。比</w:t>
      </w:r>
      <w:r>
        <w:rPr>
          <w:rFonts w:ascii="仿宋_GB2312" w:hAnsi="黑体" w:eastAsia="仿宋_GB2312"/>
          <w:sz w:val="32"/>
          <w:szCs w:val="32"/>
        </w:rPr>
        <w:t>上年预算</w:t>
      </w:r>
      <w:r>
        <w:rPr>
          <w:rFonts w:hint="eastAsia" w:ascii="仿宋_GB2312" w:hAnsi="黑体" w:eastAsia="仿宋_GB2312"/>
          <w:sz w:val="32"/>
          <w:szCs w:val="32"/>
        </w:rPr>
        <w:t>数</w:t>
      </w:r>
      <w:r>
        <w:rPr>
          <w:rFonts w:ascii="仿宋_GB2312" w:hAnsi="黑体" w:eastAsia="仿宋_GB2312"/>
          <w:sz w:val="32"/>
          <w:szCs w:val="32"/>
        </w:rPr>
        <w:t>增加</w:t>
      </w:r>
      <w:r>
        <w:rPr>
          <w:rFonts w:hint="eastAsia" w:ascii="仿宋_GB2312" w:hAnsi="黑体" w:eastAsia="仿宋_GB2312"/>
          <w:sz w:val="32"/>
          <w:szCs w:val="32"/>
        </w:rPr>
        <w:t>4.95万</w:t>
      </w:r>
      <w:r>
        <w:rPr>
          <w:rFonts w:ascii="仿宋_GB2312" w:hAnsi="黑体" w:eastAsia="仿宋_GB2312"/>
          <w:sz w:val="32"/>
          <w:szCs w:val="32"/>
        </w:rPr>
        <w:t>元，</w:t>
      </w:r>
      <w:r>
        <w:rPr>
          <w:rFonts w:hint="eastAsia" w:ascii="仿宋_GB2312" w:hAnsi="黑体" w:eastAsia="仿宋_GB2312"/>
          <w:sz w:val="32"/>
          <w:szCs w:val="32"/>
        </w:rPr>
        <w:t>增</w:t>
      </w:r>
      <w:r>
        <w:rPr>
          <w:rFonts w:ascii="仿宋_GB2312" w:hAnsi="黑体" w:eastAsia="仿宋_GB2312"/>
          <w:sz w:val="32"/>
          <w:szCs w:val="32"/>
        </w:rPr>
        <w:t>加</w:t>
      </w:r>
      <w:r>
        <w:rPr>
          <w:rFonts w:hint="eastAsia" w:ascii="仿宋_GB2312" w:hAnsi="黑体" w:eastAsia="仿宋_GB2312"/>
          <w:sz w:val="32"/>
          <w:szCs w:val="32"/>
        </w:rPr>
        <w:t>3.28</w:t>
      </w:r>
      <w:r>
        <w:rPr>
          <w:rFonts w:ascii="仿宋_GB2312" w:hAnsi="黑体" w:eastAsia="仿宋_GB2312"/>
          <w:sz w:val="32"/>
          <w:szCs w:val="32"/>
        </w:rPr>
        <w:t>%，</w:t>
      </w:r>
      <w:r>
        <w:rPr>
          <w:rFonts w:hint="eastAsia" w:ascii="仿宋_GB2312" w:hAnsi="黑体" w:eastAsia="仿宋_GB2312"/>
          <w:color w:val="000000" w:themeColor="text1"/>
          <w:kern w:val="0"/>
          <w:sz w:val="32"/>
          <w:szCs w:val="32"/>
        </w:rPr>
        <w:t>主要是</w:t>
      </w:r>
      <w:r>
        <w:rPr>
          <w:rFonts w:ascii="仿宋_GB2312" w:hAnsi="黑体" w:eastAsia="仿宋_GB2312"/>
          <w:sz w:val="32"/>
          <w:szCs w:val="32"/>
        </w:rPr>
        <w:t>基本支出</w:t>
      </w:r>
      <w:r>
        <w:rPr>
          <w:rFonts w:hint="eastAsia" w:ascii="仿宋_GB2312" w:hAnsi="黑体" w:eastAsia="仿宋_GB2312"/>
          <w:sz w:val="32"/>
          <w:szCs w:val="32"/>
        </w:rPr>
        <w:t>预算</w:t>
      </w:r>
      <w:r>
        <w:rPr>
          <w:rFonts w:ascii="仿宋_GB2312" w:hAnsi="黑体" w:eastAsia="仿宋_GB2312"/>
          <w:color w:val="000000" w:themeColor="text1"/>
          <w:kern w:val="0"/>
          <w:sz w:val="32"/>
          <w:szCs w:val="32"/>
        </w:rPr>
        <w:t>增加</w:t>
      </w:r>
      <w:r>
        <w:rPr>
          <w:rFonts w:hint="eastAsia" w:ascii="仿宋_GB2312" w:hAnsi="黑体" w:eastAsia="仿宋_GB2312"/>
          <w:color w:val="000000" w:themeColor="text1"/>
          <w:kern w:val="0"/>
          <w:sz w:val="32"/>
          <w:szCs w:val="32"/>
        </w:rPr>
        <w:t>。</w:t>
      </w:r>
    </w:p>
    <w:p>
      <w:pPr>
        <w:pStyle w:val="8"/>
        <w:numPr>
          <w:ilvl w:val="0"/>
          <w:numId w:val="4"/>
        </w:numPr>
        <w:spacing w:line="576" w:lineRule="exact"/>
        <w:ind w:firstLineChars="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其他重要事项的情况说明</w:t>
      </w:r>
    </w:p>
    <w:p>
      <w:pPr>
        <w:spacing w:line="576" w:lineRule="exact"/>
        <w:ind w:firstLine="480" w:firstLineChars="150"/>
        <w:rPr>
          <w:rFonts w:ascii="楷体" w:hAnsi="楷体" w:eastAsia="楷体"/>
          <w:sz w:val="32"/>
          <w:szCs w:val="32"/>
        </w:rPr>
      </w:pPr>
      <w:r>
        <w:rPr>
          <w:rFonts w:hint="eastAsia" w:ascii="楷体" w:hAnsi="楷体" w:eastAsia="楷体"/>
          <w:sz w:val="32"/>
          <w:szCs w:val="32"/>
        </w:rPr>
        <w:t>（一）机关运行经费</w:t>
      </w:r>
    </w:p>
    <w:p>
      <w:pPr>
        <w:pStyle w:val="8"/>
        <w:spacing w:line="576" w:lineRule="exact"/>
        <w:ind w:firstLine="640"/>
        <w:jc w:val="left"/>
        <w:rPr>
          <w:rFonts w:ascii="仿宋_GB2312" w:hAnsi="黑体" w:eastAsia="仿宋_GB2312" w:cs="仿宋_GB2312"/>
          <w:sz w:val="32"/>
          <w:szCs w:val="32"/>
        </w:rPr>
      </w:pPr>
      <w:r>
        <w:rPr>
          <w:rFonts w:hint="eastAsia" w:ascii="仿宋_GB2312" w:hAnsi="黑体" w:eastAsia="仿宋_GB2312"/>
          <w:sz w:val="32"/>
          <w:szCs w:val="32"/>
        </w:rPr>
        <w:t>2023年</w:t>
      </w:r>
      <w:r>
        <w:rPr>
          <w:rFonts w:hint="eastAsia" w:ascii="仿宋_GB2312" w:hAnsi="黑体" w:eastAsia="仿宋_GB2312" w:cs="仿宋_GB2312"/>
          <w:sz w:val="32"/>
          <w:szCs w:val="32"/>
        </w:rPr>
        <w:t>海南省消费者委员会办公室机关运行经费预算25.65万元</w:t>
      </w:r>
      <w:r>
        <w:rPr>
          <w:rFonts w:hint="eastAsia" w:ascii="仿宋_GB2312" w:hAnsi="黑体" w:eastAsia="仿宋_GB2312"/>
          <w:sz w:val="32"/>
          <w:szCs w:val="32"/>
        </w:rPr>
        <w:t>。</w:t>
      </w:r>
    </w:p>
    <w:p>
      <w:pPr>
        <w:spacing w:line="576"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pPr>
        <w:spacing w:line="576" w:lineRule="exact"/>
        <w:ind w:firstLine="640"/>
        <w:rPr>
          <w:rFonts w:ascii="仿宋_GB2312" w:hAnsi="黑体" w:eastAsia="仿宋_GB2312"/>
          <w:sz w:val="32"/>
          <w:szCs w:val="32"/>
        </w:rPr>
      </w:pPr>
      <w:r>
        <w:rPr>
          <w:rFonts w:hint="eastAsia" w:ascii="仿宋_GB2312" w:hAnsi="黑体" w:eastAsia="仿宋_GB2312"/>
          <w:sz w:val="32"/>
          <w:szCs w:val="32"/>
        </w:rPr>
        <w:t>2023年</w:t>
      </w:r>
      <w:r>
        <w:rPr>
          <w:rFonts w:hint="eastAsia" w:ascii="仿宋_GB2312" w:hAnsi="黑体" w:eastAsia="仿宋_GB2312" w:cs="仿宋_GB2312"/>
          <w:sz w:val="32"/>
          <w:szCs w:val="32"/>
        </w:rPr>
        <w:t>海南省消费者委员会办公室政府采购预算总额0</w:t>
      </w:r>
      <w:r>
        <w:rPr>
          <w:rFonts w:hint="eastAsia" w:ascii="仿宋_GB2312" w:hAnsi="黑体" w:eastAsia="仿宋_GB2312"/>
          <w:sz w:val="32"/>
          <w:szCs w:val="32"/>
        </w:rPr>
        <w:t>万元。</w:t>
      </w:r>
    </w:p>
    <w:p>
      <w:pPr>
        <w:spacing w:line="576"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spacing w:line="576"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w:t>
      </w:r>
      <w:r>
        <w:rPr>
          <w:rFonts w:ascii="仿宋_GB2312" w:hAnsi="黑体" w:eastAsia="仿宋_GB2312" w:cs="仿宋_GB2312"/>
          <w:sz w:val="32"/>
          <w:szCs w:val="32"/>
        </w:rPr>
        <w:t>2</w:t>
      </w:r>
      <w:r>
        <w:rPr>
          <w:rFonts w:hint="eastAsia" w:ascii="仿宋_GB2312" w:hAnsi="黑体" w:eastAsia="仿宋_GB2312" w:cs="仿宋_GB2312"/>
          <w:sz w:val="32"/>
          <w:szCs w:val="32"/>
        </w:rPr>
        <w:t>2</w:t>
      </w:r>
      <w:r>
        <w:rPr>
          <w:rFonts w:hint="eastAsia" w:ascii="仿宋_GB2312" w:hAnsi="黑体" w:eastAsia="仿宋_GB2312"/>
          <w:sz w:val="32"/>
          <w:szCs w:val="32"/>
        </w:rPr>
        <w:t>年12月31日，</w:t>
      </w:r>
      <w:r>
        <w:rPr>
          <w:rFonts w:hint="eastAsia" w:ascii="仿宋_GB2312" w:hAnsi="黑体" w:eastAsia="仿宋_GB2312" w:cs="仿宋_GB2312"/>
          <w:sz w:val="32"/>
          <w:szCs w:val="32"/>
        </w:rPr>
        <w:t>海南省消费者委员会办公室共有车辆1辆，其中应</w:t>
      </w:r>
      <w:r>
        <w:rPr>
          <w:rFonts w:ascii="仿宋_GB2312" w:hAnsi="黑体" w:eastAsia="仿宋_GB2312" w:cs="仿宋_GB2312"/>
          <w:sz w:val="32"/>
          <w:szCs w:val="32"/>
        </w:rPr>
        <w:t>急保障用车</w:t>
      </w:r>
      <w:r>
        <w:rPr>
          <w:rFonts w:hint="eastAsia" w:ascii="仿宋_GB2312" w:hAnsi="黑体" w:eastAsia="仿宋_GB2312" w:cs="仿宋_GB2312"/>
          <w:sz w:val="32"/>
          <w:szCs w:val="32"/>
        </w:rPr>
        <w:t>1辆。无单位价值100万元以上设备。</w:t>
      </w:r>
    </w:p>
    <w:p>
      <w:pPr>
        <w:spacing w:line="576"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pPr>
        <w:spacing w:line="576" w:lineRule="exact"/>
        <w:ind w:firstLine="640" w:firstLineChars="200"/>
        <w:rPr>
          <w:rFonts w:ascii="仿宋_GB2312" w:hAnsi="黑体" w:eastAsia="仿宋_GB2312"/>
          <w:sz w:val="32"/>
          <w:szCs w:val="32"/>
        </w:rPr>
      </w:pPr>
      <w:r>
        <w:rPr>
          <w:rFonts w:hint="eastAsia" w:ascii="仿宋_GB2312" w:hAnsi="黑体" w:eastAsia="仿宋_GB2312"/>
          <w:sz w:val="32"/>
          <w:szCs w:val="32"/>
        </w:rPr>
        <w:t>2023年</w:t>
      </w:r>
      <w:r>
        <w:rPr>
          <w:rFonts w:hint="eastAsia" w:ascii="仿宋_GB2312" w:hAnsi="黑体" w:eastAsia="仿宋_GB2312" w:cs="仿宋_GB2312"/>
          <w:sz w:val="32"/>
          <w:szCs w:val="32"/>
        </w:rPr>
        <w:t>海南省消费者委员会办公室10个项目实行绩效目标管理，涉及一般公共预算155.93</w:t>
      </w:r>
      <w:r>
        <w:rPr>
          <w:rFonts w:hint="eastAsia" w:ascii="仿宋_GB2312" w:hAnsi="黑体" w:eastAsia="仿宋_GB2312"/>
          <w:sz w:val="32"/>
          <w:szCs w:val="32"/>
        </w:rPr>
        <w:t>万元。</w:t>
      </w:r>
    </w:p>
    <w:p>
      <w:pPr>
        <w:spacing w:line="576" w:lineRule="exact"/>
        <w:ind w:firstLine="640" w:firstLineChars="200"/>
        <w:rPr>
          <w:rFonts w:ascii="仿宋_GB2312" w:hAnsi="CESI仿宋-GB2312" w:eastAsia="仿宋_GB2312" w:cs="CESI仿宋-GB2312"/>
          <w:sz w:val="32"/>
          <w:szCs w:val="32"/>
          <w:u w:val="single"/>
        </w:rPr>
      </w:pPr>
      <w:r>
        <w:rPr>
          <w:rFonts w:hint="eastAsia" w:ascii="仿宋_GB2312" w:hAnsi="CESI仿宋-GB2312" w:eastAsia="仿宋_GB2312" w:cs="CESI仿宋-GB2312"/>
          <w:sz w:val="32"/>
          <w:szCs w:val="32"/>
        </w:rPr>
        <w:t>其中，重点项目预算绩效情况：</w:t>
      </w:r>
    </w:p>
    <w:p>
      <w:pPr>
        <w:spacing w:line="576" w:lineRule="exact"/>
        <w:ind w:firstLine="640" w:firstLineChars="200"/>
        <w:rPr>
          <w:rFonts w:ascii="仿宋_GB2312" w:hAnsi="CESI仿宋-GB2312" w:eastAsia="仿宋_GB2312" w:cs="CESI仿宋-GB2312"/>
          <w:sz w:val="32"/>
          <w:szCs w:val="32"/>
        </w:rPr>
      </w:pPr>
      <w:r>
        <w:rPr>
          <w:rFonts w:hint="eastAsia" w:ascii="仿宋_GB2312" w:hAnsi="CESI仿宋-GB2312" w:eastAsia="仿宋_GB2312" w:cs="CESI仿宋-GB2312"/>
          <w:sz w:val="32"/>
          <w:szCs w:val="32"/>
        </w:rPr>
        <w:t xml:space="preserve">1.综合运行事务项目，预算安排11.06万元，主要用于商品比较试验费。绩效目标：通过商品比较试验，结合媒体发布，向广大消费者提供消费信息和咨询服务，促进消费者更好地享有知情权和自主选择权。 </w:t>
      </w:r>
    </w:p>
    <w:p>
      <w:pPr>
        <w:spacing w:line="576" w:lineRule="exact"/>
        <w:ind w:firstLine="640" w:firstLineChars="200"/>
        <w:rPr>
          <w:rFonts w:ascii="仿宋_GB2312" w:hAnsi="CESI仿宋-GB2312" w:eastAsia="仿宋_GB2312" w:cs="CESI仿宋-GB2312"/>
          <w:sz w:val="32"/>
          <w:szCs w:val="32"/>
        </w:rPr>
      </w:pPr>
      <w:r>
        <w:rPr>
          <w:rFonts w:hint="eastAsia" w:ascii="仿宋_GB2312" w:hAnsi="黑体" w:eastAsia="仿宋_GB2312" w:cs="仿宋_GB2312"/>
          <w:sz w:val="32"/>
          <w:szCs w:val="32"/>
        </w:rPr>
        <w:t>2．信息系统运行维护项目，预算安排2.4万元，主要用于海南省消费者委员会网站运行维护。</w:t>
      </w:r>
      <w:r>
        <w:rPr>
          <w:rFonts w:hint="eastAsia" w:ascii="仿宋_GB2312" w:hAnsi="CESI仿宋-GB2312" w:eastAsia="仿宋_GB2312" w:cs="CESI仿宋-GB2312"/>
          <w:sz w:val="32"/>
          <w:szCs w:val="32"/>
        </w:rPr>
        <w:t>绩效目标：（1）提供消费信息，引导消费者科学、文明、理性、绿色环保消费。（2）受理消费者投诉，解决消费纠纷，保护消费者合法权益。（3）宣传消费维权法律知识、消费知识和消费政策，提高消费者自我素质和保护能力。（4）加强对商品和服务社会监督，营造安全放心的消费环境。（5）开展放心消费创建各项工作公示和宣传。</w:t>
      </w:r>
    </w:p>
    <w:p>
      <w:pPr>
        <w:spacing w:line="576" w:lineRule="exact"/>
        <w:ind w:firstLine="640" w:firstLineChars="200"/>
        <w:rPr>
          <w:rFonts w:ascii="仿宋_GB2312" w:hAnsi="黑体" w:eastAsia="仿宋_GB2312" w:cs="仿宋_GB2312"/>
          <w:sz w:val="32"/>
          <w:szCs w:val="32"/>
        </w:rPr>
      </w:pPr>
      <w:r>
        <w:rPr>
          <w:rFonts w:hint="eastAsia" w:ascii="仿宋_GB2312" w:hAnsi="CESI仿宋-GB2312" w:eastAsia="仿宋_GB2312" w:cs="CESI仿宋-GB2312"/>
          <w:sz w:val="32"/>
          <w:szCs w:val="32"/>
        </w:rPr>
        <w:t>3．公用支出项目，</w:t>
      </w:r>
      <w:r>
        <w:rPr>
          <w:rFonts w:hint="eastAsia" w:ascii="仿宋_GB2312" w:hAnsi="黑体" w:eastAsia="仿宋_GB2312" w:cs="仿宋_GB2312"/>
          <w:sz w:val="32"/>
          <w:szCs w:val="32"/>
        </w:rPr>
        <w:t>预算安排25.65万元，主要用于单位日常运转支出和</w:t>
      </w:r>
      <w:r>
        <w:rPr>
          <w:rFonts w:hint="eastAsia" w:ascii="仿宋_GB2312" w:hAnsi="宋体" w:eastAsia="仿宋_GB2312" w:cs="宋体"/>
          <w:color w:val="000000"/>
          <w:kern w:val="0"/>
          <w:sz w:val="32"/>
          <w:szCs w:val="30"/>
        </w:rPr>
        <w:t>完成日常工作任务发生的支出。绩效目标：保障单位日常运转，提高预算编制质量，严格执行预算。</w:t>
      </w:r>
    </w:p>
    <w:p>
      <w:pPr>
        <w:spacing w:line="576" w:lineRule="exact"/>
        <w:jc w:val="center"/>
        <w:rPr>
          <w:rFonts w:ascii="黑体" w:hAnsi="黑体" w:eastAsia="黑体"/>
          <w:b/>
          <w:sz w:val="32"/>
          <w:szCs w:val="32"/>
        </w:rPr>
      </w:pPr>
    </w:p>
    <w:p>
      <w:pPr>
        <w:spacing w:line="576" w:lineRule="exact"/>
        <w:jc w:val="center"/>
        <w:rPr>
          <w:rFonts w:ascii="黑体" w:hAnsi="黑体" w:eastAsia="黑体"/>
          <w:b/>
          <w:sz w:val="32"/>
          <w:szCs w:val="32"/>
        </w:rPr>
      </w:pPr>
      <w:r>
        <w:rPr>
          <w:rFonts w:hint="eastAsia" w:ascii="黑体" w:hAnsi="黑体" w:eastAsia="黑体"/>
          <w:b/>
          <w:sz w:val="32"/>
          <w:szCs w:val="32"/>
        </w:rPr>
        <w:t>第四部分  名词解释</w:t>
      </w:r>
    </w:p>
    <w:p>
      <w:pPr>
        <w:spacing w:line="576" w:lineRule="exact"/>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headerReference r:id="rId5" w:type="default"/>
      <w:footerReference r:id="rId6" w:type="default"/>
      <w:pgSz w:w="11906" w:h="16838"/>
      <w:pgMar w:top="2098" w:right="1474" w:bottom="1985" w:left="1588"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CESI仿宋-GB2312">
    <w:panose1 w:val="02000500000000000000"/>
    <w:charset w:val="86"/>
    <w:family w:val="auto"/>
    <w:pitch w:val="default"/>
    <w:sig w:usb0="800002AF" w:usb1="084F6CF8" w:usb2="00000010" w:usb3="00000000" w:csb0="0004000F" w:csb1="00000000"/>
  </w:font>
  <w:font w:name="微软雅黑">
    <w:altName w:val="方正黑体_GBK"/>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正黑">
    <w:panose1 w:val="02000603000000000000"/>
    <w:charset w:val="86"/>
    <w:family w:val="auto"/>
    <w:pitch w:val="default"/>
    <w:sig w:usb0="900002BF" w:usb1="2BDF7DFB" w:usb2="00000036" w:usb3="00000000" w:csb0="603E000D" w:csb1="D2D7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sdt>
                <w:sdtPr>
                  <w:id w:val="-1708094906"/>
                </w:sdtPr>
                <w:sdtContent>
                  <w:p>
                    <w:pPr>
                      <w:pStyle w:val="3"/>
                      <w:jc w:val="cente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4 -</w:t>
                    </w:r>
                    <w:r>
                      <w:rPr>
                        <w:rFonts w:asciiTheme="minorEastAsia" w:hAnsiTheme="minorEastAsia"/>
                        <w:sz w:val="28"/>
                        <w:szCs w:val="28"/>
                      </w:rPr>
                      <w:fldChar w:fldCharType="end"/>
                    </w:r>
                  </w:p>
                </w:sdtContent>
              </w:sdt>
              <w:p/>
            </w:txbxContent>
          </v:textbox>
        </v:shape>
      </w:pic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17B4878"/>
    <w:multiLevelType w:val="multilevel"/>
    <w:tmpl w:val="417B4878"/>
    <w:lvl w:ilvl="0" w:tentative="0">
      <w:start w:val="9"/>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91B44"/>
    <w:rsid w:val="00003088"/>
    <w:rsid w:val="00007EF7"/>
    <w:rsid w:val="00016962"/>
    <w:rsid w:val="000235D6"/>
    <w:rsid w:val="000306D6"/>
    <w:rsid w:val="000547D9"/>
    <w:rsid w:val="000572DB"/>
    <w:rsid w:val="00060003"/>
    <w:rsid w:val="0006245D"/>
    <w:rsid w:val="00075A39"/>
    <w:rsid w:val="000837D8"/>
    <w:rsid w:val="000912F3"/>
    <w:rsid w:val="00093B8F"/>
    <w:rsid w:val="000A6EE2"/>
    <w:rsid w:val="000B08D0"/>
    <w:rsid w:val="000C15AB"/>
    <w:rsid w:val="000C72EE"/>
    <w:rsid w:val="000D0018"/>
    <w:rsid w:val="000F1BDB"/>
    <w:rsid w:val="00107BEB"/>
    <w:rsid w:val="00110C5E"/>
    <w:rsid w:val="00117B58"/>
    <w:rsid w:val="00120061"/>
    <w:rsid w:val="0013021A"/>
    <w:rsid w:val="001326C1"/>
    <w:rsid w:val="00133301"/>
    <w:rsid w:val="00146E03"/>
    <w:rsid w:val="00150ACA"/>
    <w:rsid w:val="00151395"/>
    <w:rsid w:val="0016250B"/>
    <w:rsid w:val="00165588"/>
    <w:rsid w:val="00173B57"/>
    <w:rsid w:val="0018294F"/>
    <w:rsid w:val="0018573A"/>
    <w:rsid w:val="00185955"/>
    <w:rsid w:val="00191C06"/>
    <w:rsid w:val="00192F38"/>
    <w:rsid w:val="001961F2"/>
    <w:rsid w:val="00196420"/>
    <w:rsid w:val="001A440C"/>
    <w:rsid w:val="001B615A"/>
    <w:rsid w:val="001D33F6"/>
    <w:rsid w:val="001E363F"/>
    <w:rsid w:val="001E78DB"/>
    <w:rsid w:val="001F4D6E"/>
    <w:rsid w:val="00201895"/>
    <w:rsid w:val="00212F39"/>
    <w:rsid w:val="00221B16"/>
    <w:rsid w:val="00230545"/>
    <w:rsid w:val="00232CB2"/>
    <w:rsid w:val="002419FE"/>
    <w:rsid w:val="00242561"/>
    <w:rsid w:val="002436A3"/>
    <w:rsid w:val="00252AD9"/>
    <w:rsid w:val="002530AD"/>
    <w:rsid w:val="00256CD4"/>
    <w:rsid w:val="002729A7"/>
    <w:rsid w:val="00276FDE"/>
    <w:rsid w:val="00277629"/>
    <w:rsid w:val="00285DE5"/>
    <w:rsid w:val="00293316"/>
    <w:rsid w:val="00294009"/>
    <w:rsid w:val="002956BC"/>
    <w:rsid w:val="002A59FA"/>
    <w:rsid w:val="002A7E80"/>
    <w:rsid w:val="002B0ADF"/>
    <w:rsid w:val="002B1FB5"/>
    <w:rsid w:val="002C395E"/>
    <w:rsid w:val="002D11DB"/>
    <w:rsid w:val="002D5849"/>
    <w:rsid w:val="002E7344"/>
    <w:rsid w:val="002E73B0"/>
    <w:rsid w:val="00305488"/>
    <w:rsid w:val="00321827"/>
    <w:rsid w:val="00333CFA"/>
    <w:rsid w:val="0033615F"/>
    <w:rsid w:val="00336398"/>
    <w:rsid w:val="003404D9"/>
    <w:rsid w:val="0034221F"/>
    <w:rsid w:val="003426D9"/>
    <w:rsid w:val="00344CAE"/>
    <w:rsid w:val="00346574"/>
    <w:rsid w:val="00360319"/>
    <w:rsid w:val="0036456D"/>
    <w:rsid w:val="00364965"/>
    <w:rsid w:val="00365FF6"/>
    <w:rsid w:val="003759E7"/>
    <w:rsid w:val="003847B6"/>
    <w:rsid w:val="00394766"/>
    <w:rsid w:val="003A274F"/>
    <w:rsid w:val="003B49AE"/>
    <w:rsid w:val="003C0A75"/>
    <w:rsid w:val="003D3AFD"/>
    <w:rsid w:val="003D7058"/>
    <w:rsid w:val="003E1F82"/>
    <w:rsid w:val="003E6182"/>
    <w:rsid w:val="00403695"/>
    <w:rsid w:val="00405C65"/>
    <w:rsid w:val="00415DC2"/>
    <w:rsid w:val="00417500"/>
    <w:rsid w:val="004275CC"/>
    <w:rsid w:val="004307BB"/>
    <w:rsid w:val="004522A5"/>
    <w:rsid w:val="00454ADC"/>
    <w:rsid w:val="00467D46"/>
    <w:rsid w:val="00474F12"/>
    <w:rsid w:val="0048444F"/>
    <w:rsid w:val="00484AB2"/>
    <w:rsid w:val="004A4906"/>
    <w:rsid w:val="004B13E4"/>
    <w:rsid w:val="004C2A90"/>
    <w:rsid w:val="004D6BCD"/>
    <w:rsid w:val="004E3617"/>
    <w:rsid w:val="005026D5"/>
    <w:rsid w:val="00512BE5"/>
    <w:rsid w:val="00513935"/>
    <w:rsid w:val="00525863"/>
    <w:rsid w:val="00545FD3"/>
    <w:rsid w:val="00546B43"/>
    <w:rsid w:val="005569EE"/>
    <w:rsid w:val="005728F6"/>
    <w:rsid w:val="00580A41"/>
    <w:rsid w:val="00581D7B"/>
    <w:rsid w:val="005832BB"/>
    <w:rsid w:val="005866DF"/>
    <w:rsid w:val="00591CCF"/>
    <w:rsid w:val="0059423F"/>
    <w:rsid w:val="005A60B1"/>
    <w:rsid w:val="005B5210"/>
    <w:rsid w:val="005C415C"/>
    <w:rsid w:val="005C4CF0"/>
    <w:rsid w:val="005C6A4C"/>
    <w:rsid w:val="005F1E09"/>
    <w:rsid w:val="005F72C0"/>
    <w:rsid w:val="005F760D"/>
    <w:rsid w:val="005F78BD"/>
    <w:rsid w:val="005F7EA3"/>
    <w:rsid w:val="00601F96"/>
    <w:rsid w:val="00603BA6"/>
    <w:rsid w:val="0061037F"/>
    <w:rsid w:val="006104D7"/>
    <w:rsid w:val="00610FB9"/>
    <w:rsid w:val="0062557A"/>
    <w:rsid w:val="00632774"/>
    <w:rsid w:val="00640059"/>
    <w:rsid w:val="006472E7"/>
    <w:rsid w:val="006575CD"/>
    <w:rsid w:val="00663804"/>
    <w:rsid w:val="00670067"/>
    <w:rsid w:val="00670197"/>
    <w:rsid w:val="0067251F"/>
    <w:rsid w:val="006800A6"/>
    <w:rsid w:val="006871F7"/>
    <w:rsid w:val="00690769"/>
    <w:rsid w:val="006A17DF"/>
    <w:rsid w:val="006B1FB3"/>
    <w:rsid w:val="006B6DD9"/>
    <w:rsid w:val="006C0A44"/>
    <w:rsid w:val="006C3DA8"/>
    <w:rsid w:val="006D40C8"/>
    <w:rsid w:val="006E2D04"/>
    <w:rsid w:val="006E4C06"/>
    <w:rsid w:val="006E7ED2"/>
    <w:rsid w:val="006F12DF"/>
    <w:rsid w:val="006F1336"/>
    <w:rsid w:val="006F183D"/>
    <w:rsid w:val="006F33A2"/>
    <w:rsid w:val="006F46FD"/>
    <w:rsid w:val="00702297"/>
    <w:rsid w:val="00710B4D"/>
    <w:rsid w:val="007122CB"/>
    <w:rsid w:val="00716C81"/>
    <w:rsid w:val="00726BD4"/>
    <w:rsid w:val="00732E33"/>
    <w:rsid w:val="00734056"/>
    <w:rsid w:val="00745210"/>
    <w:rsid w:val="00745491"/>
    <w:rsid w:val="0075151D"/>
    <w:rsid w:val="007652FD"/>
    <w:rsid w:val="00767BFA"/>
    <w:rsid w:val="00780487"/>
    <w:rsid w:val="00780FC1"/>
    <w:rsid w:val="0078430E"/>
    <w:rsid w:val="00786240"/>
    <w:rsid w:val="007905C9"/>
    <w:rsid w:val="00792530"/>
    <w:rsid w:val="00793A7F"/>
    <w:rsid w:val="007B1782"/>
    <w:rsid w:val="007B3322"/>
    <w:rsid w:val="007B664B"/>
    <w:rsid w:val="007C31BA"/>
    <w:rsid w:val="007C43DF"/>
    <w:rsid w:val="007C4C77"/>
    <w:rsid w:val="007E0105"/>
    <w:rsid w:val="007E4EAF"/>
    <w:rsid w:val="007F1EA5"/>
    <w:rsid w:val="007F253A"/>
    <w:rsid w:val="007F7F04"/>
    <w:rsid w:val="008026E3"/>
    <w:rsid w:val="008030DE"/>
    <w:rsid w:val="00804939"/>
    <w:rsid w:val="00810B32"/>
    <w:rsid w:val="00813369"/>
    <w:rsid w:val="00815F03"/>
    <w:rsid w:val="00816A87"/>
    <w:rsid w:val="00842384"/>
    <w:rsid w:val="00846623"/>
    <w:rsid w:val="00853402"/>
    <w:rsid w:val="00864A16"/>
    <w:rsid w:val="00897E2C"/>
    <w:rsid w:val="008A6B53"/>
    <w:rsid w:val="008C1502"/>
    <w:rsid w:val="008D26E1"/>
    <w:rsid w:val="008E614A"/>
    <w:rsid w:val="00914114"/>
    <w:rsid w:val="00914809"/>
    <w:rsid w:val="009262C2"/>
    <w:rsid w:val="009266F6"/>
    <w:rsid w:val="00926751"/>
    <w:rsid w:val="009340FF"/>
    <w:rsid w:val="009421BF"/>
    <w:rsid w:val="00945858"/>
    <w:rsid w:val="00947538"/>
    <w:rsid w:val="0096266B"/>
    <w:rsid w:val="00973C70"/>
    <w:rsid w:val="0098189B"/>
    <w:rsid w:val="00981E25"/>
    <w:rsid w:val="00987922"/>
    <w:rsid w:val="009945A1"/>
    <w:rsid w:val="00995DA5"/>
    <w:rsid w:val="00995E3F"/>
    <w:rsid w:val="009974E8"/>
    <w:rsid w:val="009B113B"/>
    <w:rsid w:val="009B4158"/>
    <w:rsid w:val="009C3F52"/>
    <w:rsid w:val="009C489C"/>
    <w:rsid w:val="009E11D4"/>
    <w:rsid w:val="009F52FB"/>
    <w:rsid w:val="00A10688"/>
    <w:rsid w:val="00A17EC5"/>
    <w:rsid w:val="00A20E50"/>
    <w:rsid w:val="00A26239"/>
    <w:rsid w:val="00A30D46"/>
    <w:rsid w:val="00A324AA"/>
    <w:rsid w:val="00A53B89"/>
    <w:rsid w:val="00A545A0"/>
    <w:rsid w:val="00A81FD9"/>
    <w:rsid w:val="00A83B71"/>
    <w:rsid w:val="00A86C05"/>
    <w:rsid w:val="00A92068"/>
    <w:rsid w:val="00A94D59"/>
    <w:rsid w:val="00AA3106"/>
    <w:rsid w:val="00AA6BA1"/>
    <w:rsid w:val="00AC44AF"/>
    <w:rsid w:val="00AE1D69"/>
    <w:rsid w:val="00AE4D39"/>
    <w:rsid w:val="00AE60FC"/>
    <w:rsid w:val="00B06879"/>
    <w:rsid w:val="00B11742"/>
    <w:rsid w:val="00B25D65"/>
    <w:rsid w:val="00B4676D"/>
    <w:rsid w:val="00B5422F"/>
    <w:rsid w:val="00B574D1"/>
    <w:rsid w:val="00B5763A"/>
    <w:rsid w:val="00B727DE"/>
    <w:rsid w:val="00B733B8"/>
    <w:rsid w:val="00B90060"/>
    <w:rsid w:val="00B91434"/>
    <w:rsid w:val="00B95A3D"/>
    <w:rsid w:val="00B97E37"/>
    <w:rsid w:val="00BA63AF"/>
    <w:rsid w:val="00BB2C05"/>
    <w:rsid w:val="00BB76FB"/>
    <w:rsid w:val="00BC2FDE"/>
    <w:rsid w:val="00BD07F6"/>
    <w:rsid w:val="00BD2DC2"/>
    <w:rsid w:val="00BD7011"/>
    <w:rsid w:val="00C1176B"/>
    <w:rsid w:val="00C22B8B"/>
    <w:rsid w:val="00C32009"/>
    <w:rsid w:val="00C32056"/>
    <w:rsid w:val="00C60DF3"/>
    <w:rsid w:val="00C72C36"/>
    <w:rsid w:val="00C745BA"/>
    <w:rsid w:val="00C82DCE"/>
    <w:rsid w:val="00C91D51"/>
    <w:rsid w:val="00C9405C"/>
    <w:rsid w:val="00CA2682"/>
    <w:rsid w:val="00CA7DBE"/>
    <w:rsid w:val="00CB321F"/>
    <w:rsid w:val="00CB3DE4"/>
    <w:rsid w:val="00CB5F49"/>
    <w:rsid w:val="00CD7757"/>
    <w:rsid w:val="00CE247B"/>
    <w:rsid w:val="00CE5CBC"/>
    <w:rsid w:val="00CE6767"/>
    <w:rsid w:val="00D04235"/>
    <w:rsid w:val="00D06946"/>
    <w:rsid w:val="00D11314"/>
    <w:rsid w:val="00D20D90"/>
    <w:rsid w:val="00D22953"/>
    <w:rsid w:val="00D23448"/>
    <w:rsid w:val="00D332A5"/>
    <w:rsid w:val="00D40BB8"/>
    <w:rsid w:val="00D418FA"/>
    <w:rsid w:val="00D47BEB"/>
    <w:rsid w:val="00D53DB1"/>
    <w:rsid w:val="00D55B73"/>
    <w:rsid w:val="00D6795D"/>
    <w:rsid w:val="00D75C8A"/>
    <w:rsid w:val="00D82B14"/>
    <w:rsid w:val="00D867D4"/>
    <w:rsid w:val="00D922FF"/>
    <w:rsid w:val="00D97CC7"/>
    <w:rsid w:val="00DA05C4"/>
    <w:rsid w:val="00DA2AF1"/>
    <w:rsid w:val="00DB10ED"/>
    <w:rsid w:val="00DB22FA"/>
    <w:rsid w:val="00DC4726"/>
    <w:rsid w:val="00DC65EF"/>
    <w:rsid w:val="00DD103E"/>
    <w:rsid w:val="00DD3FD8"/>
    <w:rsid w:val="00DD4862"/>
    <w:rsid w:val="00DD6F7D"/>
    <w:rsid w:val="00DE2CF6"/>
    <w:rsid w:val="00E12A95"/>
    <w:rsid w:val="00E27401"/>
    <w:rsid w:val="00E3389C"/>
    <w:rsid w:val="00E36D4B"/>
    <w:rsid w:val="00E41135"/>
    <w:rsid w:val="00E7035D"/>
    <w:rsid w:val="00E73F73"/>
    <w:rsid w:val="00E748C9"/>
    <w:rsid w:val="00E802B2"/>
    <w:rsid w:val="00EA36A1"/>
    <w:rsid w:val="00EA6257"/>
    <w:rsid w:val="00EB13B5"/>
    <w:rsid w:val="00EB479A"/>
    <w:rsid w:val="00EB6B03"/>
    <w:rsid w:val="00EC1ACF"/>
    <w:rsid w:val="00ED50D0"/>
    <w:rsid w:val="00ED6580"/>
    <w:rsid w:val="00EE30DB"/>
    <w:rsid w:val="00EE3A3C"/>
    <w:rsid w:val="00F14AE7"/>
    <w:rsid w:val="00F232BC"/>
    <w:rsid w:val="00F25292"/>
    <w:rsid w:val="00F31179"/>
    <w:rsid w:val="00F36978"/>
    <w:rsid w:val="00F375FC"/>
    <w:rsid w:val="00F56C1C"/>
    <w:rsid w:val="00F56DAB"/>
    <w:rsid w:val="00F657A6"/>
    <w:rsid w:val="00F8330E"/>
    <w:rsid w:val="00F83E2B"/>
    <w:rsid w:val="00F859CB"/>
    <w:rsid w:val="00F91B44"/>
    <w:rsid w:val="00FA06CD"/>
    <w:rsid w:val="00FB0A31"/>
    <w:rsid w:val="00FB2A47"/>
    <w:rsid w:val="00FC038F"/>
    <w:rsid w:val="00FC1322"/>
    <w:rsid w:val="00FC1342"/>
    <w:rsid w:val="00FC2442"/>
    <w:rsid w:val="00FD3478"/>
    <w:rsid w:val="00FE2328"/>
    <w:rsid w:val="00FE293E"/>
    <w:rsid w:val="5FC32D90"/>
    <w:rsid w:val="65D52455"/>
    <w:rsid w:val="67EBC15F"/>
    <w:rsid w:val="79F70DB5"/>
    <w:rsid w:val="DFE7DCA0"/>
    <w:rsid w:val="DFFB5ACB"/>
    <w:rsid w:val="F7CFFC4C"/>
    <w:rsid w:val="F7FB3C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List Paragraph"/>
    <w:basedOn w:val="1"/>
    <w:qFormat/>
    <w:uiPriority w:val="99"/>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Xxzx</Company>
  <Pages>11</Pages>
  <Words>671</Words>
  <Characters>3826</Characters>
  <Lines>31</Lines>
  <Paragraphs>8</Paragraphs>
  <TotalTime>18</TotalTime>
  <ScaleCrop>false</ScaleCrop>
  <LinksUpToDate>false</LinksUpToDate>
  <CharactersWithSpaces>4489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2022-02-17T03:25:00Z</dcterms:created>
  <dc:creator>null,null,总收发</dc:creator>
  <cp:lastModifiedBy>uos</cp:lastModifiedBy>
  <cp:lastPrinted>2022-02-17T05:28:00Z</cp:lastPrinted>
  <dcterms:modified xsi:type="dcterms:W3CDTF">2023-02-16T11:25:25Z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